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app0.xml" ContentType="application/vnd.openxmlformats-officedocument.extended-properties+xml"/>
</Types>
</file>

<file path=_rels/.rels><?xml version="1.0" encoding="UTF-8" standalone="yes"?>
<Relationships xmlns="http://schemas.openxmlformats.org/package/2006/relationships"><Relationship Id="dd47c0dcf" Type="http://schemas.openxmlformats.org/officeDocument/2006/extended-properties" Target="docProps/app0.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06C83" w14:textId="093EE175" w:rsidR="00AB4FF3" w:rsidRPr="004548DB" w:rsidRDefault="0015214D">
      <w:pPr>
        <w:spacing w:line="288" w:lineRule="auto"/>
        <w:rPr>
          <w:rFonts w:ascii="Arial" w:eastAsia="Arial" w:hAnsi="Arial" w:cs="Arial"/>
        </w:rPr>
      </w:pPr>
      <w:r>
        <w:rPr>
          <w:rFonts w:ascii="Arial" w:eastAsia="Arial" w:hAnsi="Arial" w:cs="Arial"/>
        </w:rPr>
        <w:t>November</w:t>
      </w:r>
      <w:r w:rsidR="00AF7A65">
        <w:rPr>
          <w:rFonts w:ascii="Arial" w:eastAsia="Arial" w:hAnsi="Arial" w:cs="Arial"/>
        </w:rPr>
        <w:t xml:space="preserve"> </w:t>
      </w:r>
      <w:r>
        <w:rPr>
          <w:rFonts w:ascii="Arial" w:eastAsia="Arial" w:hAnsi="Arial" w:cs="Arial"/>
        </w:rPr>
        <w:t>6</w:t>
      </w:r>
      <w:r w:rsidR="003A42C2" w:rsidRPr="004548DB">
        <w:rPr>
          <w:rFonts w:ascii="Arial" w:eastAsia="Arial" w:hAnsi="Arial" w:cs="Arial"/>
        </w:rPr>
        <w:t>, 202</w:t>
      </w:r>
      <w:bookmarkStart w:id="0" w:name="News_Release"/>
      <w:bookmarkEnd w:id="0"/>
      <w:r w:rsidR="00393CAB">
        <w:rPr>
          <w:rFonts w:ascii="Arial" w:eastAsia="Arial" w:hAnsi="Arial" w:cs="Arial"/>
        </w:rPr>
        <w:t>3</w:t>
      </w:r>
    </w:p>
    <w:p w14:paraId="21CFCC30" w14:textId="3D074867" w:rsidR="00AB4FF3" w:rsidRDefault="00AB4FF3">
      <w:pPr>
        <w:spacing w:line="288" w:lineRule="auto"/>
        <w:rPr>
          <w:rFonts w:ascii="Arial" w:eastAsia="Arial" w:hAnsi="Arial" w:cs="Arial"/>
          <w:sz w:val="16"/>
        </w:rPr>
      </w:pPr>
    </w:p>
    <w:p w14:paraId="3BD904CF" w14:textId="77777777" w:rsidR="00AB4FF3" w:rsidRDefault="003A42C2">
      <w:pPr>
        <w:spacing w:line="288" w:lineRule="auto"/>
        <w:jc w:val="center"/>
        <w:rPr>
          <w:rFonts w:ascii="Arial" w:eastAsia="Arial" w:hAnsi="Arial" w:cs="Arial"/>
          <w:b/>
          <w:sz w:val="24"/>
        </w:rPr>
      </w:pPr>
      <w:r>
        <w:rPr>
          <w:rFonts w:ascii="Arial" w:eastAsia="Arial" w:hAnsi="Arial" w:cs="Arial"/>
          <w:b/>
          <w:sz w:val="24"/>
        </w:rPr>
        <w:t>CHESAPEAKE GRANITE WASH TRUST ANNOUNCES</w:t>
      </w:r>
    </w:p>
    <w:p w14:paraId="0F9A5BF5" w14:textId="02DD6892" w:rsidR="00AB4FF3" w:rsidRDefault="003A42C2">
      <w:pPr>
        <w:spacing w:line="288" w:lineRule="auto"/>
        <w:jc w:val="center"/>
        <w:rPr>
          <w:rFonts w:ascii="Arial" w:eastAsia="Arial" w:hAnsi="Arial" w:cs="Arial"/>
          <w:b/>
          <w:sz w:val="24"/>
        </w:rPr>
      </w:pPr>
      <w:r>
        <w:rPr>
          <w:rFonts w:ascii="Arial" w:eastAsia="Arial" w:hAnsi="Arial" w:cs="Arial"/>
          <w:b/>
          <w:sz w:val="24"/>
        </w:rPr>
        <w:t xml:space="preserve">DISTRIBUTION OF </w:t>
      </w:r>
      <w:r w:rsidRPr="004E64CE">
        <w:rPr>
          <w:rFonts w:ascii="Arial" w:eastAsia="Arial" w:hAnsi="Arial" w:cs="Arial"/>
          <w:b/>
          <w:sz w:val="24"/>
        </w:rPr>
        <w:t>$0.</w:t>
      </w:r>
      <w:r w:rsidR="006A70B4">
        <w:rPr>
          <w:rFonts w:ascii="Arial" w:eastAsia="Arial" w:hAnsi="Arial" w:cs="Arial"/>
          <w:b/>
          <w:sz w:val="24"/>
        </w:rPr>
        <w:t>0</w:t>
      </w:r>
      <w:r w:rsidR="00167DAC">
        <w:rPr>
          <w:rFonts w:ascii="Arial" w:eastAsia="Arial" w:hAnsi="Arial" w:cs="Arial"/>
          <w:b/>
          <w:sz w:val="24"/>
        </w:rPr>
        <w:t>336</w:t>
      </w:r>
      <w:r w:rsidR="00352A8B">
        <w:rPr>
          <w:rFonts w:ascii="Arial" w:eastAsia="Arial" w:hAnsi="Arial" w:cs="Arial"/>
          <w:b/>
          <w:sz w:val="24"/>
        </w:rPr>
        <w:t xml:space="preserve"> </w:t>
      </w:r>
      <w:r>
        <w:rPr>
          <w:rFonts w:ascii="Arial" w:eastAsia="Arial" w:hAnsi="Arial" w:cs="Arial"/>
          <w:b/>
          <w:sz w:val="24"/>
        </w:rPr>
        <w:t>PER COMMON UNIT</w:t>
      </w:r>
    </w:p>
    <w:p w14:paraId="2FC688EB" w14:textId="77777777" w:rsidR="00AB4FF3" w:rsidRDefault="00AB4FF3">
      <w:pPr>
        <w:spacing w:line="288" w:lineRule="auto"/>
        <w:jc w:val="center"/>
        <w:rPr>
          <w:rFonts w:ascii="Arial" w:eastAsia="Arial" w:hAnsi="Arial" w:cs="Arial"/>
          <w:b/>
          <w:sz w:val="24"/>
        </w:rPr>
      </w:pPr>
    </w:p>
    <w:p w14:paraId="6E7F5AB6" w14:textId="1EB4B77D" w:rsidR="00AB4FF3" w:rsidRDefault="003A42C2">
      <w:pPr>
        <w:spacing w:after="180" w:line="288" w:lineRule="auto"/>
        <w:jc w:val="both"/>
        <w:rPr>
          <w:rFonts w:ascii="Arial" w:eastAsia="Arial" w:hAnsi="Arial" w:cs="Arial"/>
          <w:sz w:val="22"/>
        </w:rPr>
      </w:pPr>
      <w:r>
        <w:rPr>
          <w:rFonts w:ascii="Arial" w:eastAsia="Arial" w:hAnsi="Arial" w:cs="Arial"/>
          <w:sz w:val="22"/>
        </w:rPr>
        <w:t xml:space="preserve">HOUSTON, TEXAS, </w:t>
      </w:r>
      <w:r w:rsidR="000A3F0A">
        <w:rPr>
          <w:rFonts w:ascii="Arial" w:eastAsia="Arial" w:hAnsi="Arial" w:cs="Arial"/>
          <w:sz w:val="22"/>
        </w:rPr>
        <w:t>November 6</w:t>
      </w:r>
      <w:r w:rsidR="00107C39">
        <w:rPr>
          <w:rFonts w:ascii="Arial" w:eastAsia="Arial" w:hAnsi="Arial" w:cs="Arial"/>
          <w:sz w:val="22"/>
        </w:rPr>
        <w:t>, 202</w:t>
      </w:r>
      <w:r w:rsidR="004B0065">
        <w:rPr>
          <w:rFonts w:ascii="Arial" w:eastAsia="Arial" w:hAnsi="Arial" w:cs="Arial"/>
          <w:sz w:val="22"/>
        </w:rPr>
        <w:t>3</w:t>
      </w:r>
      <w:r>
        <w:rPr>
          <w:rFonts w:ascii="Arial" w:eastAsia="Arial" w:hAnsi="Arial" w:cs="Arial"/>
          <w:sz w:val="22"/>
        </w:rPr>
        <w:t xml:space="preserve"> – Chesapeake Granite Wash Trust (OTC Markets Group, Inc.:CHKR) (the “Trust”) today announced that its common unit distribution for the quarter end</w:t>
      </w:r>
      <w:r w:rsidR="00E06979">
        <w:rPr>
          <w:rFonts w:ascii="Arial" w:eastAsia="Arial" w:hAnsi="Arial" w:cs="Arial"/>
          <w:sz w:val="22"/>
        </w:rPr>
        <w:t xml:space="preserve">ed </w:t>
      </w:r>
      <w:r w:rsidR="00BE5826">
        <w:rPr>
          <w:rFonts w:ascii="Arial" w:eastAsia="Arial" w:hAnsi="Arial" w:cs="Arial"/>
          <w:sz w:val="22"/>
        </w:rPr>
        <w:t>September</w:t>
      </w:r>
      <w:r w:rsidR="00614367">
        <w:rPr>
          <w:rFonts w:ascii="Arial" w:eastAsia="Arial" w:hAnsi="Arial" w:cs="Arial"/>
          <w:sz w:val="22"/>
        </w:rPr>
        <w:t> </w:t>
      </w:r>
      <w:r w:rsidR="00EF56C7">
        <w:rPr>
          <w:rFonts w:ascii="Arial" w:eastAsia="Arial" w:hAnsi="Arial" w:cs="Arial"/>
          <w:sz w:val="22"/>
        </w:rPr>
        <w:t>3</w:t>
      </w:r>
      <w:r w:rsidR="008B56E8">
        <w:rPr>
          <w:rFonts w:ascii="Arial" w:eastAsia="Arial" w:hAnsi="Arial" w:cs="Arial"/>
          <w:sz w:val="22"/>
        </w:rPr>
        <w:t>0</w:t>
      </w:r>
      <w:r>
        <w:rPr>
          <w:rFonts w:ascii="Arial" w:eastAsia="Arial" w:hAnsi="Arial" w:cs="Arial"/>
          <w:sz w:val="22"/>
        </w:rPr>
        <w:t>, 202</w:t>
      </w:r>
      <w:r w:rsidR="00E06979">
        <w:rPr>
          <w:rFonts w:ascii="Arial" w:eastAsia="Arial" w:hAnsi="Arial" w:cs="Arial"/>
          <w:sz w:val="22"/>
        </w:rPr>
        <w:t>3</w:t>
      </w:r>
      <w:r>
        <w:rPr>
          <w:rFonts w:ascii="Arial" w:eastAsia="Arial" w:hAnsi="Arial" w:cs="Arial"/>
          <w:sz w:val="22"/>
        </w:rPr>
        <w:t xml:space="preserve"> (which primarily relates to production attributable to the Trust’s royalty interests from </w:t>
      </w:r>
      <w:r w:rsidR="000A3F0A">
        <w:rPr>
          <w:rFonts w:ascii="Arial" w:eastAsia="Arial" w:hAnsi="Arial" w:cs="Arial"/>
          <w:sz w:val="22"/>
        </w:rPr>
        <w:t>June</w:t>
      </w:r>
      <w:r w:rsidR="004B0065">
        <w:rPr>
          <w:rFonts w:ascii="Arial" w:eastAsia="Arial" w:hAnsi="Arial" w:cs="Arial"/>
          <w:sz w:val="22"/>
        </w:rPr>
        <w:t xml:space="preserve"> </w:t>
      </w:r>
      <w:r>
        <w:rPr>
          <w:rFonts w:ascii="Arial" w:eastAsia="Arial" w:hAnsi="Arial" w:cs="Arial"/>
          <w:sz w:val="22"/>
        </w:rPr>
        <w:t>1, 202</w:t>
      </w:r>
      <w:r w:rsidR="008B56E8">
        <w:rPr>
          <w:rFonts w:ascii="Arial" w:eastAsia="Arial" w:hAnsi="Arial" w:cs="Arial"/>
          <w:sz w:val="22"/>
        </w:rPr>
        <w:t>3</w:t>
      </w:r>
      <w:r>
        <w:rPr>
          <w:rFonts w:ascii="Arial" w:eastAsia="Arial" w:hAnsi="Arial" w:cs="Arial"/>
          <w:sz w:val="22"/>
        </w:rPr>
        <w:t xml:space="preserve"> through </w:t>
      </w:r>
      <w:r w:rsidR="000A3F0A">
        <w:rPr>
          <w:rFonts w:ascii="Arial" w:eastAsia="Arial" w:hAnsi="Arial" w:cs="Arial"/>
          <w:sz w:val="22"/>
        </w:rPr>
        <w:t>August</w:t>
      </w:r>
      <w:r w:rsidR="008B56E8">
        <w:rPr>
          <w:rFonts w:ascii="Arial" w:eastAsia="Arial" w:hAnsi="Arial" w:cs="Arial"/>
          <w:sz w:val="22"/>
        </w:rPr>
        <w:t xml:space="preserve"> 31</w:t>
      </w:r>
      <w:r>
        <w:rPr>
          <w:rFonts w:ascii="Arial" w:eastAsia="Arial" w:hAnsi="Arial" w:cs="Arial"/>
          <w:sz w:val="22"/>
        </w:rPr>
        <w:t>, 202</w:t>
      </w:r>
      <w:r w:rsidR="00E06979">
        <w:rPr>
          <w:rFonts w:ascii="Arial" w:eastAsia="Arial" w:hAnsi="Arial" w:cs="Arial"/>
          <w:sz w:val="22"/>
        </w:rPr>
        <w:t>3</w:t>
      </w:r>
      <w:r w:rsidR="007D5B1F">
        <w:rPr>
          <w:rFonts w:ascii="Arial" w:eastAsia="Arial" w:hAnsi="Arial" w:cs="Arial"/>
          <w:sz w:val="22"/>
        </w:rPr>
        <w:t>)</w:t>
      </w:r>
      <w:r>
        <w:rPr>
          <w:rFonts w:ascii="Arial" w:eastAsia="Arial" w:hAnsi="Arial" w:cs="Arial"/>
          <w:sz w:val="22"/>
        </w:rPr>
        <w:t xml:space="preserve"> will be </w:t>
      </w:r>
      <w:r w:rsidRPr="008B56E8">
        <w:rPr>
          <w:rFonts w:ascii="Arial" w:eastAsia="Arial" w:hAnsi="Arial" w:cs="Arial"/>
          <w:sz w:val="22"/>
        </w:rPr>
        <w:t>$0.0</w:t>
      </w:r>
      <w:r w:rsidR="000A3F0A">
        <w:rPr>
          <w:rFonts w:ascii="Arial" w:eastAsia="Arial" w:hAnsi="Arial" w:cs="Arial"/>
          <w:sz w:val="22"/>
        </w:rPr>
        <w:t>336</w:t>
      </w:r>
      <w:r w:rsidR="009B5533">
        <w:rPr>
          <w:rFonts w:ascii="Arial" w:eastAsia="Arial" w:hAnsi="Arial" w:cs="Arial"/>
          <w:sz w:val="22"/>
        </w:rPr>
        <w:t xml:space="preserve"> </w:t>
      </w:r>
      <w:r>
        <w:rPr>
          <w:rFonts w:ascii="Arial" w:eastAsia="Arial" w:hAnsi="Arial" w:cs="Arial"/>
          <w:sz w:val="22"/>
        </w:rPr>
        <w:t xml:space="preserve">per common unit. The distribution will be paid on </w:t>
      </w:r>
      <w:r w:rsidR="00F269D2">
        <w:rPr>
          <w:rFonts w:ascii="Arial" w:eastAsia="Arial" w:hAnsi="Arial" w:cs="Arial"/>
          <w:sz w:val="22"/>
        </w:rPr>
        <w:t>November</w:t>
      </w:r>
      <w:r w:rsidR="000B0AD7">
        <w:rPr>
          <w:rFonts w:ascii="Arial" w:eastAsia="Arial" w:hAnsi="Arial" w:cs="Arial"/>
          <w:sz w:val="22"/>
        </w:rPr>
        <w:t xml:space="preserve"> </w:t>
      </w:r>
      <w:r w:rsidR="008B56E8">
        <w:rPr>
          <w:rFonts w:ascii="Arial" w:eastAsia="Arial" w:hAnsi="Arial" w:cs="Arial"/>
          <w:sz w:val="22"/>
        </w:rPr>
        <w:t>3</w:t>
      </w:r>
      <w:r w:rsidR="00F269D2">
        <w:rPr>
          <w:rFonts w:ascii="Arial" w:eastAsia="Arial" w:hAnsi="Arial" w:cs="Arial"/>
          <w:sz w:val="22"/>
        </w:rPr>
        <w:t>0</w:t>
      </w:r>
      <w:r>
        <w:rPr>
          <w:rFonts w:ascii="Arial" w:eastAsia="Arial" w:hAnsi="Arial" w:cs="Arial"/>
          <w:sz w:val="22"/>
        </w:rPr>
        <w:t>, 202</w:t>
      </w:r>
      <w:r w:rsidR="000B0AD7">
        <w:rPr>
          <w:rFonts w:ascii="Arial" w:eastAsia="Arial" w:hAnsi="Arial" w:cs="Arial"/>
          <w:sz w:val="22"/>
        </w:rPr>
        <w:t>3</w:t>
      </w:r>
      <w:r>
        <w:rPr>
          <w:rFonts w:ascii="Arial" w:eastAsia="Arial" w:hAnsi="Arial" w:cs="Arial"/>
          <w:sz w:val="22"/>
        </w:rPr>
        <w:t xml:space="preserve"> to common unitholders of record at the close of business on</w:t>
      </w:r>
      <w:r w:rsidR="008B56E8">
        <w:rPr>
          <w:rFonts w:ascii="Arial" w:eastAsia="Arial" w:hAnsi="Arial" w:cs="Arial"/>
          <w:sz w:val="22"/>
        </w:rPr>
        <w:t xml:space="preserve"> </w:t>
      </w:r>
      <w:r w:rsidR="0077420D">
        <w:rPr>
          <w:rFonts w:ascii="Arial" w:eastAsia="Arial" w:hAnsi="Arial" w:cs="Arial"/>
          <w:sz w:val="22"/>
        </w:rPr>
        <w:t>November</w:t>
      </w:r>
      <w:r w:rsidR="00AF18E0">
        <w:rPr>
          <w:rFonts w:ascii="Arial" w:eastAsia="Arial" w:hAnsi="Arial" w:cs="Arial"/>
          <w:sz w:val="22"/>
        </w:rPr>
        <w:t xml:space="preserve"> </w:t>
      </w:r>
      <w:r w:rsidR="00276F13">
        <w:rPr>
          <w:rFonts w:ascii="Arial" w:eastAsia="Arial" w:hAnsi="Arial" w:cs="Arial"/>
          <w:sz w:val="22"/>
        </w:rPr>
        <w:t>2</w:t>
      </w:r>
      <w:r w:rsidR="0077420D">
        <w:rPr>
          <w:rFonts w:ascii="Arial" w:eastAsia="Arial" w:hAnsi="Arial" w:cs="Arial"/>
          <w:sz w:val="22"/>
        </w:rPr>
        <w:t>0</w:t>
      </w:r>
      <w:r>
        <w:rPr>
          <w:rFonts w:ascii="Arial" w:eastAsia="Arial" w:hAnsi="Arial" w:cs="Arial"/>
          <w:sz w:val="22"/>
        </w:rPr>
        <w:t>, 202</w:t>
      </w:r>
      <w:r w:rsidR="00AF18E0">
        <w:rPr>
          <w:rFonts w:ascii="Arial" w:eastAsia="Arial" w:hAnsi="Arial" w:cs="Arial"/>
          <w:sz w:val="22"/>
        </w:rPr>
        <w:t>3</w:t>
      </w:r>
      <w:r>
        <w:rPr>
          <w:rFonts w:ascii="Arial" w:eastAsia="Arial" w:hAnsi="Arial" w:cs="Arial"/>
          <w:sz w:val="22"/>
        </w:rPr>
        <w:t>.</w:t>
      </w:r>
    </w:p>
    <w:p w14:paraId="26C7F2ED" w14:textId="154471BC" w:rsidR="00AB4FF3" w:rsidRDefault="003A42C2">
      <w:pPr>
        <w:spacing w:after="320" w:line="288" w:lineRule="auto"/>
        <w:jc w:val="both"/>
        <w:rPr>
          <w:rFonts w:ascii="Arial" w:eastAsia="Arial" w:hAnsi="Arial" w:cs="Arial"/>
          <w:sz w:val="22"/>
        </w:rPr>
      </w:pPr>
      <w:r>
        <w:rPr>
          <w:rFonts w:ascii="Arial" w:eastAsia="Arial" w:hAnsi="Arial" w:cs="Arial"/>
          <w:sz w:val="22"/>
        </w:rPr>
        <w:t xml:space="preserve">The following table provides supporting </w:t>
      </w:r>
      <w:r w:rsidR="003738C1">
        <w:rPr>
          <w:rFonts w:ascii="Arial" w:eastAsia="Arial" w:hAnsi="Arial" w:cs="Arial"/>
          <w:sz w:val="22"/>
        </w:rPr>
        <w:t>documentation</w:t>
      </w:r>
      <w:r w:rsidR="007D5B1F">
        <w:rPr>
          <w:rFonts w:ascii="Arial" w:eastAsia="Arial" w:hAnsi="Arial" w:cs="Arial"/>
          <w:sz w:val="22"/>
        </w:rPr>
        <w:t xml:space="preserve"> </w:t>
      </w:r>
      <w:r>
        <w:rPr>
          <w:rFonts w:ascii="Arial" w:eastAsia="Arial" w:hAnsi="Arial" w:cs="Arial"/>
          <w:sz w:val="22"/>
        </w:rPr>
        <w:t xml:space="preserve">for the calculation of distributable income available to unitholders for the production period from </w:t>
      </w:r>
      <w:r w:rsidR="008C1397">
        <w:rPr>
          <w:rFonts w:ascii="Arial" w:eastAsia="Arial" w:hAnsi="Arial" w:cs="Arial"/>
          <w:sz w:val="22"/>
        </w:rPr>
        <w:t>June</w:t>
      </w:r>
      <w:r w:rsidR="008B56E8">
        <w:rPr>
          <w:rFonts w:ascii="Arial" w:eastAsia="Arial" w:hAnsi="Arial" w:cs="Arial"/>
          <w:sz w:val="22"/>
        </w:rPr>
        <w:t xml:space="preserve"> 1</w:t>
      </w:r>
      <w:r w:rsidR="00107C39">
        <w:rPr>
          <w:rFonts w:ascii="Arial" w:eastAsia="Arial" w:hAnsi="Arial" w:cs="Arial"/>
          <w:sz w:val="22"/>
        </w:rPr>
        <w:t>, 202</w:t>
      </w:r>
      <w:r w:rsidR="008B56E8">
        <w:rPr>
          <w:rFonts w:ascii="Arial" w:eastAsia="Arial" w:hAnsi="Arial" w:cs="Arial"/>
          <w:sz w:val="22"/>
        </w:rPr>
        <w:t>3</w:t>
      </w:r>
      <w:r w:rsidR="00107C39">
        <w:rPr>
          <w:rFonts w:ascii="Arial" w:eastAsia="Arial" w:hAnsi="Arial" w:cs="Arial"/>
          <w:sz w:val="22"/>
        </w:rPr>
        <w:t xml:space="preserve"> through </w:t>
      </w:r>
      <w:r w:rsidR="008C1397">
        <w:rPr>
          <w:rFonts w:ascii="Arial" w:eastAsia="Arial" w:hAnsi="Arial" w:cs="Arial"/>
          <w:sz w:val="22"/>
        </w:rPr>
        <w:t>August</w:t>
      </w:r>
      <w:r w:rsidR="008B56E8">
        <w:rPr>
          <w:rFonts w:ascii="Arial" w:eastAsia="Arial" w:hAnsi="Arial" w:cs="Arial"/>
          <w:sz w:val="22"/>
        </w:rPr>
        <w:t xml:space="preserve"> 31</w:t>
      </w:r>
      <w:r w:rsidR="00107C39">
        <w:rPr>
          <w:rFonts w:ascii="Arial" w:eastAsia="Arial" w:hAnsi="Arial" w:cs="Arial"/>
          <w:sz w:val="22"/>
        </w:rPr>
        <w:t>, 202</w:t>
      </w:r>
      <w:r w:rsidR="00B207CC">
        <w:rPr>
          <w:rFonts w:ascii="Arial" w:eastAsia="Arial" w:hAnsi="Arial" w:cs="Arial"/>
          <w:sz w:val="22"/>
        </w:rPr>
        <w:t>3</w:t>
      </w:r>
      <w:r>
        <w:rPr>
          <w:rFonts w:ascii="Arial" w:eastAsia="Arial" w:hAnsi="Arial" w:cs="Arial"/>
          <w:sz w:val="22"/>
        </w:rPr>
        <w:t>.</w:t>
      </w:r>
    </w:p>
    <w:tbl>
      <w:tblPr>
        <w:tblW w:w="9020" w:type="dxa"/>
        <w:jc w:val="center"/>
        <w:tblLayout w:type="fixed"/>
        <w:tblCellMar>
          <w:left w:w="10" w:type="dxa"/>
          <w:right w:w="10" w:type="dxa"/>
        </w:tblCellMar>
        <w:tblLook w:val="04A0" w:firstRow="1" w:lastRow="0" w:firstColumn="1" w:lastColumn="0" w:noHBand="0" w:noVBand="1"/>
      </w:tblPr>
      <w:tblGrid>
        <w:gridCol w:w="440"/>
        <w:gridCol w:w="7120"/>
        <w:gridCol w:w="180"/>
        <w:gridCol w:w="122"/>
        <w:gridCol w:w="781"/>
        <w:gridCol w:w="77"/>
        <w:gridCol w:w="300"/>
      </w:tblGrid>
      <w:tr w:rsidR="00C34995" w14:paraId="13EAAC5B" w14:textId="77777777">
        <w:trPr>
          <w:trHeight w:hRule="exact" w:val="260"/>
          <w:jc w:val="center"/>
        </w:trPr>
        <w:tc>
          <w:tcPr>
            <w:tcW w:w="7560" w:type="dxa"/>
            <w:gridSpan w:val="2"/>
            <w:tcMar>
              <w:left w:w="60" w:type="dxa"/>
              <w:right w:w="40" w:type="dxa"/>
            </w:tcMar>
            <w:vAlign w:val="bottom"/>
          </w:tcPr>
          <w:p w14:paraId="62B3FE39" w14:textId="77777777" w:rsidR="00C34995" w:rsidRDefault="00C34995">
            <w:pPr>
              <w:keepNext/>
              <w:keepLines/>
              <w:spacing w:before="40" w:after="40"/>
              <w:rPr>
                <w:rFonts w:ascii="Arial" w:eastAsia="Arial" w:hAnsi="Arial" w:cs="Arial"/>
              </w:rPr>
            </w:pPr>
            <w:r>
              <w:rPr>
                <w:rFonts w:ascii="Arial" w:eastAsia="Arial" w:hAnsi="Arial" w:cs="Arial"/>
                <w:color w:val="000000"/>
              </w:rPr>
              <w:t>Sales volumes:</w:t>
            </w:r>
          </w:p>
        </w:tc>
        <w:tc>
          <w:tcPr>
            <w:tcW w:w="180" w:type="dxa"/>
            <w:tcMar>
              <w:left w:w="60" w:type="dxa"/>
              <w:right w:w="0" w:type="dxa"/>
            </w:tcMar>
            <w:vAlign w:val="bottom"/>
          </w:tcPr>
          <w:p w14:paraId="2E2CC0BA" w14:textId="77777777" w:rsidR="00C34995" w:rsidRDefault="00C34995">
            <w:pPr>
              <w:keepNext/>
              <w:keepLines/>
              <w:spacing w:before="40" w:after="40"/>
            </w:pPr>
          </w:p>
        </w:tc>
        <w:tc>
          <w:tcPr>
            <w:tcW w:w="0" w:type="dxa"/>
            <w:gridSpan w:val="3"/>
            <w:tcMar>
              <w:left w:w="60" w:type="dxa"/>
              <w:right w:w="0" w:type="dxa"/>
            </w:tcMar>
            <w:vAlign w:val="bottom"/>
          </w:tcPr>
          <w:p w14:paraId="05EA6841" w14:textId="77777777" w:rsidR="00C34995" w:rsidRDefault="00C34995">
            <w:pPr>
              <w:keepNext/>
              <w:keepLines/>
              <w:spacing w:before="40" w:after="40"/>
            </w:pPr>
          </w:p>
        </w:tc>
        <w:tc>
          <w:tcPr>
            <w:tcW w:w="300" w:type="dxa"/>
            <w:tcMar>
              <w:left w:w="60" w:type="dxa"/>
              <w:right w:w="0" w:type="dxa"/>
            </w:tcMar>
            <w:vAlign w:val="bottom"/>
          </w:tcPr>
          <w:p w14:paraId="0CAE406F" w14:textId="77777777" w:rsidR="00C34995" w:rsidRDefault="00C34995">
            <w:pPr>
              <w:keepNext/>
              <w:keepLines/>
              <w:spacing w:before="40" w:after="40"/>
            </w:pPr>
          </w:p>
        </w:tc>
      </w:tr>
      <w:tr w:rsidR="00C34995" w14:paraId="5D570C13" w14:textId="77777777">
        <w:trPr>
          <w:trHeight w:hRule="exact" w:val="260"/>
          <w:jc w:val="center"/>
        </w:trPr>
        <w:tc>
          <w:tcPr>
            <w:tcW w:w="440" w:type="dxa"/>
            <w:tcMar>
              <w:left w:w="60" w:type="dxa"/>
              <w:right w:w="0" w:type="dxa"/>
            </w:tcMar>
            <w:vAlign w:val="bottom"/>
          </w:tcPr>
          <w:p w14:paraId="2CE2E438" w14:textId="77777777" w:rsidR="00C34995" w:rsidRDefault="00C34995">
            <w:pPr>
              <w:keepNext/>
              <w:keepLines/>
              <w:spacing w:before="40" w:after="40"/>
            </w:pPr>
          </w:p>
        </w:tc>
        <w:tc>
          <w:tcPr>
            <w:tcW w:w="7120" w:type="dxa"/>
            <w:tcMar>
              <w:left w:w="60" w:type="dxa"/>
              <w:right w:w="40" w:type="dxa"/>
            </w:tcMar>
            <w:vAlign w:val="bottom"/>
          </w:tcPr>
          <w:p w14:paraId="175A04EC" w14:textId="77777777" w:rsidR="00C34995" w:rsidRDefault="00C34995">
            <w:pPr>
              <w:keepNext/>
              <w:keepLines/>
              <w:spacing w:before="40" w:after="40"/>
              <w:rPr>
                <w:rFonts w:ascii="Arial" w:eastAsia="Arial" w:hAnsi="Arial" w:cs="Arial"/>
              </w:rPr>
            </w:pPr>
            <w:r>
              <w:rPr>
                <w:rFonts w:ascii="Arial" w:eastAsia="Arial" w:hAnsi="Arial" w:cs="Arial"/>
                <w:color w:val="000000"/>
              </w:rPr>
              <w:t>Oil (mbbl)</w:t>
            </w:r>
          </w:p>
        </w:tc>
        <w:tc>
          <w:tcPr>
            <w:tcW w:w="180" w:type="dxa"/>
            <w:tcMar>
              <w:left w:w="60" w:type="dxa"/>
              <w:right w:w="0" w:type="dxa"/>
            </w:tcMar>
            <w:vAlign w:val="bottom"/>
          </w:tcPr>
          <w:p w14:paraId="737B9DA2" w14:textId="77777777" w:rsidR="00C34995" w:rsidRDefault="00C34995">
            <w:pPr>
              <w:keepNext/>
              <w:keepLines/>
              <w:spacing w:before="40" w:after="40"/>
            </w:pPr>
          </w:p>
        </w:tc>
        <w:tc>
          <w:tcPr>
            <w:tcW w:w="903" w:type="dxa"/>
            <w:gridSpan w:val="2"/>
            <w:tcMar>
              <w:left w:w="0" w:type="dxa"/>
              <w:right w:w="0" w:type="dxa"/>
            </w:tcMar>
            <w:vAlign w:val="bottom"/>
          </w:tcPr>
          <w:p w14:paraId="685B5020" w14:textId="6635C667" w:rsidR="00C34995" w:rsidRDefault="00276F13">
            <w:pPr>
              <w:keepNext/>
              <w:keepLines/>
              <w:spacing w:before="40" w:after="40"/>
              <w:jc w:val="right"/>
              <w:rPr>
                <w:rFonts w:ascii="Arial" w:eastAsia="Arial" w:hAnsi="Arial" w:cs="Arial"/>
              </w:rPr>
            </w:pPr>
            <w:r>
              <w:rPr>
                <w:rFonts w:ascii="Arial" w:eastAsia="Arial" w:hAnsi="Arial" w:cs="Arial"/>
                <w:color w:val="000000"/>
              </w:rPr>
              <w:t>1</w:t>
            </w:r>
            <w:r w:rsidR="00167DAC">
              <w:rPr>
                <w:rFonts w:ascii="Arial" w:eastAsia="Arial" w:hAnsi="Arial" w:cs="Arial"/>
                <w:color w:val="000000"/>
              </w:rPr>
              <w:t>1</w:t>
            </w:r>
          </w:p>
        </w:tc>
        <w:tc>
          <w:tcPr>
            <w:tcW w:w="77" w:type="dxa"/>
            <w:tcMar>
              <w:left w:w="0" w:type="dxa"/>
              <w:right w:w="0" w:type="dxa"/>
            </w:tcMar>
          </w:tcPr>
          <w:p w14:paraId="121DDAA2" w14:textId="77777777" w:rsidR="00C34995" w:rsidRDefault="00C34995"/>
        </w:tc>
        <w:tc>
          <w:tcPr>
            <w:tcW w:w="300" w:type="dxa"/>
            <w:tcMar>
              <w:left w:w="60" w:type="dxa"/>
              <w:right w:w="0" w:type="dxa"/>
            </w:tcMar>
            <w:vAlign w:val="bottom"/>
          </w:tcPr>
          <w:p w14:paraId="1E5927C2" w14:textId="77777777" w:rsidR="00C34995" w:rsidRDefault="00C34995">
            <w:pPr>
              <w:keepNext/>
              <w:keepLines/>
              <w:spacing w:before="40" w:after="40"/>
            </w:pPr>
          </w:p>
        </w:tc>
      </w:tr>
      <w:tr w:rsidR="00C34995" w14:paraId="0F389AF5" w14:textId="77777777" w:rsidTr="002B385B">
        <w:trPr>
          <w:trHeight w:hRule="exact" w:val="288"/>
          <w:jc w:val="center"/>
        </w:trPr>
        <w:tc>
          <w:tcPr>
            <w:tcW w:w="440" w:type="dxa"/>
            <w:tcMar>
              <w:left w:w="60" w:type="dxa"/>
              <w:right w:w="0" w:type="dxa"/>
            </w:tcMar>
            <w:vAlign w:val="bottom"/>
          </w:tcPr>
          <w:p w14:paraId="6F77237E" w14:textId="77777777" w:rsidR="00C34995" w:rsidRDefault="00C34995">
            <w:pPr>
              <w:keepNext/>
              <w:keepLines/>
              <w:spacing w:before="40" w:after="40"/>
            </w:pPr>
          </w:p>
        </w:tc>
        <w:tc>
          <w:tcPr>
            <w:tcW w:w="7120" w:type="dxa"/>
            <w:tcMar>
              <w:left w:w="60" w:type="dxa"/>
              <w:right w:w="40" w:type="dxa"/>
            </w:tcMar>
            <w:vAlign w:val="bottom"/>
          </w:tcPr>
          <w:p w14:paraId="48999CDF" w14:textId="77777777" w:rsidR="00C34995" w:rsidRDefault="00C34995">
            <w:pPr>
              <w:keepNext/>
              <w:keepLines/>
              <w:spacing w:before="40" w:after="40"/>
              <w:rPr>
                <w:rFonts w:ascii="Arial" w:eastAsia="Arial" w:hAnsi="Arial" w:cs="Arial"/>
              </w:rPr>
            </w:pPr>
            <w:r>
              <w:rPr>
                <w:rFonts w:ascii="Arial" w:eastAsia="Arial" w:hAnsi="Arial" w:cs="Arial"/>
                <w:color w:val="000000"/>
              </w:rPr>
              <w:t>Natural gas (mmcf)</w:t>
            </w:r>
          </w:p>
        </w:tc>
        <w:tc>
          <w:tcPr>
            <w:tcW w:w="180" w:type="dxa"/>
            <w:tcMar>
              <w:left w:w="60" w:type="dxa"/>
              <w:right w:w="0" w:type="dxa"/>
            </w:tcMar>
            <w:vAlign w:val="bottom"/>
          </w:tcPr>
          <w:p w14:paraId="4823F9D8" w14:textId="77777777" w:rsidR="00C34995" w:rsidRDefault="00C34995">
            <w:pPr>
              <w:keepNext/>
              <w:keepLines/>
              <w:spacing w:before="40" w:after="40"/>
            </w:pPr>
          </w:p>
        </w:tc>
        <w:tc>
          <w:tcPr>
            <w:tcW w:w="903" w:type="dxa"/>
            <w:gridSpan w:val="2"/>
            <w:tcMar>
              <w:left w:w="0" w:type="dxa"/>
              <w:right w:w="0" w:type="dxa"/>
            </w:tcMar>
            <w:vAlign w:val="bottom"/>
          </w:tcPr>
          <w:p w14:paraId="27349D5A" w14:textId="64B23B16" w:rsidR="00C34995" w:rsidRDefault="00676842">
            <w:pPr>
              <w:keepNext/>
              <w:keepLines/>
              <w:spacing w:before="40" w:after="40"/>
              <w:jc w:val="right"/>
              <w:rPr>
                <w:rFonts w:ascii="Arial" w:eastAsia="Arial" w:hAnsi="Arial" w:cs="Arial"/>
              </w:rPr>
            </w:pPr>
            <w:r>
              <w:rPr>
                <w:rFonts w:ascii="Arial" w:eastAsia="Arial" w:hAnsi="Arial" w:cs="Arial"/>
                <w:color w:val="000000"/>
              </w:rPr>
              <w:t>3</w:t>
            </w:r>
            <w:r w:rsidR="00D41BB6">
              <w:rPr>
                <w:rFonts w:ascii="Arial" w:eastAsia="Arial" w:hAnsi="Arial" w:cs="Arial"/>
                <w:color w:val="000000"/>
              </w:rPr>
              <w:t>59</w:t>
            </w:r>
          </w:p>
        </w:tc>
        <w:tc>
          <w:tcPr>
            <w:tcW w:w="77" w:type="dxa"/>
            <w:tcMar>
              <w:left w:w="0" w:type="dxa"/>
              <w:right w:w="0" w:type="dxa"/>
            </w:tcMar>
          </w:tcPr>
          <w:p w14:paraId="28853CEB" w14:textId="77777777" w:rsidR="00C34995" w:rsidRDefault="00C34995"/>
        </w:tc>
        <w:tc>
          <w:tcPr>
            <w:tcW w:w="300" w:type="dxa"/>
            <w:tcMar>
              <w:left w:w="60" w:type="dxa"/>
              <w:right w:w="0" w:type="dxa"/>
            </w:tcMar>
            <w:vAlign w:val="bottom"/>
          </w:tcPr>
          <w:p w14:paraId="1A7ED831" w14:textId="77777777" w:rsidR="00C34995" w:rsidRDefault="00C34995">
            <w:pPr>
              <w:keepNext/>
              <w:keepLines/>
              <w:spacing w:before="40" w:after="40"/>
            </w:pPr>
          </w:p>
        </w:tc>
      </w:tr>
      <w:tr w:rsidR="00C34995" w14:paraId="33EF4EEF" w14:textId="77777777" w:rsidTr="002B385B">
        <w:trPr>
          <w:trHeight w:hRule="exact" w:val="288"/>
          <w:jc w:val="center"/>
        </w:trPr>
        <w:tc>
          <w:tcPr>
            <w:tcW w:w="440" w:type="dxa"/>
            <w:tcMar>
              <w:left w:w="60" w:type="dxa"/>
              <w:right w:w="0" w:type="dxa"/>
            </w:tcMar>
            <w:vAlign w:val="bottom"/>
          </w:tcPr>
          <w:p w14:paraId="099D639A" w14:textId="77777777" w:rsidR="00C34995" w:rsidRDefault="00C34995">
            <w:pPr>
              <w:keepNext/>
              <w:keepLines/>
              <w:spacing w:before="40" w:after="40"/>
            </w:pPr>
          </w:p>
        </w:tc>
        <w:tc>
          <w:tcPr>
            <w:tcW w:w="7120" w:type="dxa"/>
            <w:tcMar>
              <w:left w:w="60" w:type="dxa"/>
              <w:right w:w="40" w:type="dxa"/>
            </w:tcMar>
            <w:vAlign w:val="bottom"/>
          </w:tcPr>
          <w:p w14:paraId="7602C011" w14:textId="77777777" w:rsidR="00C34995" w:rsidRDefault="00C34995">
            <w:pPr>
              <w:keepNext/>
              <w:keepLines/>
              <w:spacing w:before="40" w:after="40"/>
              <w:rPr>
                <w:rFonts w:ascii="Arial" w:eastAsia="Arial" w:hAnsi="Arial" w:cs="Arial"/>
              </w:rPr>
            </w:pPr>
            <w:r>
              <w:rPr>
                <w:rFonts w:ascii="Arial" w:eastAsia="Arial" w:hAnsi="Arial" w:cs="Arial"/>
                <w:color w:val="000000"/>
              </w:rPr>
              <w:t>Natural gas liquids (mbbl)</w:t>
            </w:r>
          </w:p>
        </w:tc>
        <w:tc>
          <w:tcPr>
            <w:tcW w:w="180" w:type="dxa"/>
            <w:tcMar>
              <w:left w:w="60" w:type="dxa"/>
              <w:right w:w="0" w:type="dxa"/>
            </w:tcMar>
            <w:vAlign w:val="bottom"/>
          </w:tcPr>
          <w:p w14:paraId="628F440F" w14:textId="77777777" w:rsidR="00C34995" w:rsidRDefault="00C34995">
            <w:pPr>
              <w:keepNext/>
              <w:keepLines/>
              <w:spacing w:before="40" w:after="40"/>
            </w:pPr>
          </w:p>
        </w:tc>
        <w:tc>
          <w:tcPr>
            <w:tcW w:w="903" w:type="dxa"/>
            <w:gridSpan w:val="2"/>
            <w:tcMar>
              <w:left w:w="0" w:type="dxa"/>
              <w:right w:w="0" w:type="dxa"/>
            </w:tcMar>
            <w:vAlign w:val="bottom"/>
          </w:tcPr>
          <w:p w14:paraId="2D32E544" w14:textId="67059711" w:rsidR="00C34995" w:rsidRDefault="00D41BB6">
            <w:pPr>
              <w:keepNext/>
              <w:keepLines/>
              <w:spacing w:before="40" w:after="40"/>
              <w:jc w:val="right"/>
              <w:rPr>
                <w:rFonts w:ascii="Arial" w:eastAsia="Arial" w:hAnsi="Arial" w:cs="Arial"/>
              </w:rPr>
            </w:pPr>
            <w:r>
              <w:rPr>
                <w:rFonts w:ascii="Arial" w:eastAsia="Arial" w:hAnsi="Arial" w:cs="Arial"/>
                <w:color w:val="000000"/>
              </w:rPr>
              <w:t>30</w:t>
            </w:r>
          </w:p>
        </w:tc>
        <w:tc>
          <w:tcPr>
            <w:tcW w:w="77" w:type="dxa"/>
            <w:tcMar>
              <w:left w:w="0" w:type="dxa"/>
              <w:right w:w="0" w:type="dxa"/>
            </w:tcMar>
          </w:tcPr>
          <w:p w14:paraId="1492382C" w14:textId="77777777" w:rsidR="00C34995" w:rsidRDefault="00C34995"/>
        </w:tc>
        <w:tc>
          <w:tcPr>
            <w:tcW w:w="300" w:type="dxa"/>
            <w:tcMar>
              <w:left w:w="60" w:type="dxa"/>
              <w:right w:w="0" w:type="dxa"/>
            </w:tcMar>
            <w:vAlign w:val="bottom"/>
          </w:tcPr>
          <w:p w14:paraId="4881BAFD" w14:textId="77777777" w:rsidR="00C34995" w:rsidRDefault="00C34995">
            <w:pPr>
              <w:keepNext/>
              <w:keepLines/>
              <w:spacing w:before="40" w:after="40"/>
            </w:pPr>
          </w:p>
        </w:tc>
      </w:tr>
      <w:tr w:rsidR="00C34995" w14:paraId="76B7ACE3" w14:textId="77777777" w:rsidTr="00B400ED">
        <w:trPr>
          <w:trHeight w:hRule="exact" w:val="317"/>
          <w:jc w:val="center"/>
        </w:trPr>
        <w:tc>
          <w:tcPr>
            <w:tcW w:w="440" w:type="dxa"/>
            <w:tcMar>
              <w:left w:w="60" w:type="dxa"/>
              <w:right w:w="0" w:type="dxa"/>
            </w:tcMar>
            <w:vAlign w:val="bottom"/>
          </w:tcPr>
          <w:p w14:paraId="7EB3E430" w14:textId="77777777" w:rsidR="00C34995" w:rsidRDefault="00C34995">
            <w:pPr>
              <w:keepNext/>
              <w:keepLines/>
              <w:spacing w:before="40" w:after="40"/>
            </w:pPr>
          </w:p>
        </w:tc>
        <w:tc>
          <w:tcPr>
            <w:tcW w:w="7120" w:type="dxa"/>
            <w:tcMar>
              <w:left w:w="60" w:type="dxa"/>
              <w:right w:w="40" w:type="dxa"/>
            </w:tcMar>
            <w:vAlign w:val="bottom"/>
          </w:tcPr>
          <w:p w14:paraId="5645FC93" w14:textId="77777777" w:rsidR="00C34995" w:rsidRDefault="00C34995">
            <w:pPr>
              <w:keepNext/>
              <w:keepLines/>
              <w:spacing w:before="40" w:after="40"/>
              <w:rPr>
                <w:rFonts w:ascii="Arial" w:eastAsia="Arial" w:hAnsi="Arial" w:cs="Arial"/>
              </w:rPr>
            </w:pPr>
            <w:r>
              <w:rPr>
                <w:rFonts w:ascii="Arial" w:eastAsia="Arial" w:hAnsi="Arial" w:cs="Arial"/>
                <w:color w:val="000000"/>
              </w:rPr>
              <w:t xml:space="preserve">     Total oil equivalent volumes (mboe)</w:t>
            </w:r>
          </w:p>
        </w:tc>
        <w:tc>
          <w:tcPr>
            <w:tcW w:w="180" w:type="dxa"/>
            <w:tcMar>
              <w:left w:w="60" w:type="dxa"/>
              <w:right w:w="0" w:type="dxa"/>
            </w:tcMar>
            <w:vAlign w:val="bottom"/>
          </w:tcPr>
          <w:p w14:paraId="55F7660C" w14:textId="77777777" w:rsidR="00C34995" w:rsidRDefault="00C34995">
            <w:pPr>
              <w:keepNext/>
              <w:keepLines/>
              <w:spacing w:before="40" w:after="40"/>
            </w:pPr>
          </w:p>
        </w:tc>
        <w:tc>
          <w:tcPr>
            <w:tcW w:w="903" w:type="dxa"/>
            <w:gridSpan w:val="2"/>
            <w:tcBorders>
              <w:top w:val="single" w:sz="8" w:space="0" w:color="auto"/>
            </w:tcBorders>
            <w:tcMar>
              <w:left w:w="0" w:type="dxa"/>
              <w:right w:w="0" w:type="dxa"/>
            </w:tcMar>
            <w:vAlign w:val="bottom"/>
          </w:tcPr>
          <w:p w14:paraId="0F12C19D" w14:textId="62ADEC99" w:rsidR="00C34995" w:rsidRDefault="00D41BB6">
            <w:pPr>
              <w:keepNext/>
              <w:keepLines/>
              <w:spacing w:before="40" w:after="40"/>
              <w:jc w:val="right"/>
              <w:rPr>
                <w:rFonts w:ascii="Arial" w:eastAsia="Arial" w:hAnsi="Arial" w:cs="Arial"/>
              </w:rPr>
            </w:pPr>
            <w:r>
              <w:rPr>
                <w:rFonts w:ascii="Arial" w:eastAsia="Arial" w:hAnsi="Arial" w:cs="Arial"/>
                <w:color w:val="000000"/>
              </w:rPr>
              <w:t>101</w:t>
            </w:r>
          </w:p>
        </w:tc>
        <w:tc>
          <w:tcPr>
            <w:tcW w:w="77" w:type="dxa"/>
            <w:tcBorders>
              <w:top w:val="single" w:sz="8" w:space="0" w:color="auto"/>
            </w:tcBorders>
            <w:tcMar>
              <w:left w:w="0" w:type="dxa"/>
              <w:right w:w="0" w:type="dxa"/>
            </w:tcMar>
          </w:tcPr>
          <w:p w14:paraId="5D9A630C" w14:textId="54EC5E03" w:rsidR="00C34995" w:rsidRDefault="00C34995"/>
        </w:tc>
        <w:tc>
          <w:tcPr>
            <w:tcW w:w="300" w:type="dxa"/>
            <w:tcMar>
              <w:left w:w="60" w:type="dxa"/>
              <w:right w:w="0" w:type="dxa"/>
            </w:tcMar>
            <w:vAlign w:val="bottom"/>
          </w:tcPr>
          <w:p w14:paraId="06D6BA59" w14:textId="77777777" w:rsidR="00C34995" w:rsidRDefault="00C34995">
            <w:pPr>
              <w:keepNext/>
              <w:keepLines/>
              <w:spacing w:before="40" w:after="40"/>
            </w:pPr>
          </w:p>
        </w:tc>
      </w:tr>
      <w:tr w:rsidR="00C34995" w14:paraId="07ED91B2" w14:textId="77777777">
        <w:trPr>
          <w:trHeight w:hRule="exact" w:val="260"/>
          <w:jc w:val="center"/>
        </w:trPr>
        <w:tc>
          <w:tcPr>
            <w:tcW w:w="440" w:type="dxa"/>
            <w:tcMar>
              <w:left w:w="60" w:type="dxa"/>
              <w:right w:w="0" w:type="dxa"/>
            </w:tcMar>
            <w:vAlign w:val="bottom"/>
          </w:tcPr>
          <w:p w14:paraId="7F708862" w14:textId="77777777" w:rsidR="00C34995" w:rsidRDefault="00C34995">
            <w:pPr>
              <w:keepNext/>
              <w:keepLines/>
              <w:spacing w:before="40" w:after="40"/>
            </w:pPr>
          </w:p>
        </w:tc>
        <w:tc>
          <w:tcPr>
            <w:tcW w:w="7120" w:type="dxa"/>
            <w:tcMar>
              <w:left w:w="60" w:type="dxa"/>
              <w:right w:w="0" w:type="dxa"/>
            </w:tcMar>
            <w:vAlign w:val="bottom"/>
          </w:tcPr>
          <w:p w14:paraId="1B2D04A0" w14:textId="77777777" w:rsidR="00C34995" w:rsidRDefault="00C34995">
            <w:pPr>
              <w:keepNext/>
              <w:keepLines/>
              <w:spacing w:before="40" w:after="40"/>
            </w:pPr>
          </w:p>
        </w:tc>
        <w:tc>
          <w:tcPr>
            <w:tcW w:w="180" w:type="dxa"/>
            <w:tcMar>
              <w:left w:w="60" w:type="dxa"/>
              <w:right w:w="0" w:type="dxa"/>
            </w:tcMar>
            <w:vAlign w:val="bottom"/>
          </w:tcPr>
          <w:p w14:paraId="29172CB1" w14:textId="77777777" w:rsidR="00C34995" w:rsidRDefault="00C34995">
            <w:pPr>
              <w:keepNext/>
              <w:keepLines/>
              <w:spacing w:before="40" w:after="40"/>
            </w:pPr>
          </w:p>
        </w:tc>
        <w:tc>
          <w:tcPr>
            <w:tcW w:w="0" w:type="dxa"/>
            <w:gridSpan w:val="3"/>
            <w:tcMar>
              <w:left w:w="60" w:type="dxa"/>
              <w:right w:w="0" w:type="dxa"/>
            </w:tcMar>
            <w:vAlign w:val="bottom"/>
          </w:tcPr>
          <w:p w14:paraId="791A4F79" w14:textId="77777777" w:rsidR="00C34995" w:rsidRDefault="00C34995">
            <w:pPr>
              <w:keepNext/>
              <w:keepLines/>
              <w:spacing w:before="40" w:after="40"/>
            </w:pPr>
          </w:p>
        </w:tc>
        <w:tc>
          <w:tcPr>
            <w:tcW w:w="300" w:type="dxa"/>
            <w:tcMar>
              <w:left w:w="60" w:type="dxa"/>
              <w:right w:w="0" w:type="dxa"/>
            </w:tcMar>
            <w:vAlign w:val="bottom"/>
          </w:tcPr>
          <w:p w14:paraId="0167D89C" w14:textId="77777777" w:rsidR="00C34995" w:rsidRDefault="00C34995">
            <w:pPr>
              <w:keepNext/>
              <w:keepLines/>
              <w:spacing w:before="40" w:after="40"/>
            </w:pPr>
          </w:p>
        </w:tc>
      </w:tr>
      <w:tr w:rsidR="00C34995" w14:paraId="6DFB3F54" w14:textId="77777777" w:rsidTr="00B400ED">
        <w:trPr>
          <w:trHeight w:hRule="exact" w:val="288"/>
          <w:jc w:val="center"/>
        </w:trPr>
        <w:tc>
          <w:tcPr>
            <w:tcW w:w="7560" w:type="dxa"/>
            <w:gridSpan w:val="2"/>
            <w:tcMar>
              <w:left w:w="60" w:type="dxa"/>
              <w:right w:w="40" w:type="dxa"/>
            </w:tcMar>
            <w:vAlign w:val="bottom"/>
          </w:tcPr>
          <w:p w14:paraId="3FFB15E8" w14:textId="77777777" w:rsidR="00C34995" w:rsidRDefault="00C34995">
            <w:pPr>
              <w:keepNext/>
              <w:keepLines/>
              <w:spacing w:before="40" w:after="40"/>
              <w:rPr>
                <w:rFonts w:ascii="Arial" w:eastAsia="Arial" w:hAnsi="Arial" w:cs="Arial"/>
              </w:rPr>
            </w:pPr>
            <w:r>
              <w:rPr>
                <w:rFonts w:ascii="Arial" w:eastAsia="Arial" w:hAnsi="Arial" w:cs="Arial"/>
              </w:rPr>
              <w:t>Average price received per production unit:</w:t>
            </w:r>
            <w:r>
              <w:rPr>
                <w:rFonts w:ascii="Arial" w:eastAsia="Arial" w:hAnsi="Arial" w:cs="Arial"/>
                <w:vertAlign w:val="superscript"/>
              </w:rPr>
              <w:t>(1)</w:t>
            </w:r>
          </w:p>
        </w:tc>
        <w:tc>
          <w:tcPr>
            <w:tcW w:w="180" w:type="dxa"/>
            <w:tcMar>
              <w:left w:w="60" w:type="dxa"/>
              <w:right w:w="0" w:type="dxa"/>
            </w:tcMar>
            <w:vAlign w:val="bottom"/>
          </w:tcPr>
          <w:p w14:paraId="1E844C1F" w14:textId="77777777" w:rsidR="00C34995" w:rsidRDefault="00C34995">
            <w:pPr>
              <w:keepNext/>
              <w:keepLines/>
              <w:spacing w:before="40" w:after="40"/>
            </w:pPr>
          </w:p>
        </w:tc>
        <w:tc>
          <w:tcPr>
            <w:tcW w:w="0" w:type="dxa"/>
            <w:gridSpan w:val="3"/>
            <w:tcMar>
              <w:left w:w="60" w:type="dxa"/>
              <w:right w:w="0" w:type="dxa"/>
            </w:tcMar>
            <w:vAlign w:val="bottom"/>
          </w:tcPr>
          <w:p w14:paraId="54691388" w14:textId="77777777" w:rsidR="00C34995" w:rsidRDefault="00C34995">
            <w:pPr>
              <w:keepNext/>
              <w:keepLines/>
              <w:spacing w:before="40" w:after="40"/>
            </w:pPr>
          </w:p>
        </w:tc>
        <w:tc>
          <w:tcPr>
            <w:tcW w:w="300" w:type="dxa"/>
            <w:tcMar>
              <w:left w:w="60" w:type="dxa"/>
              <w:right w:w="0" w:type="dxa"/>
            </w:tcMar>
            <w:vAlign w:val="bottom"/>
          </w:tcPr>
          <w:p w14:paraId="5E1F332D" w14:textId="77777777" w:rsidR="00C34995" w:rsidRDefault="00C34995">
            <w:pPr>
              <w:keepNext/>
              <w:keepLines/>
              <w:spacing w:before="40" w:after="40"/>
            </w:pPr>
          </w:p>
        </w:tc>
      </w:tr>
      <w:tr w:rsidR="00C34995" w14:paraId="71BBB908" w14:textId="77777777" w:rsidTr="002B385B">
        <w:trPr>
          <w:trHeight w:hRule="exact" w:val="259"/>
          <w:jc w:val="center"/>
        </w:trPr>
        <w:tc>
          <w:tcPr>
            <w:tcW w:w="440" w:type="dxa"/>
            <w:tcMar>
              <w:left w:w="60" w:type="dxa"/>
              <w:right w:w="0" w:type="dxa"/>
            </w:tcMar>
            <w:vAlign w:val="bottom"/>
          </w:tcPr>
          <w:p w14:paraId="5AB96EA1" w14:textId="77777777" w:rsidR="00C34995" w:rsidRDefault="00C34995">
            <w:pPr>
              <w:keepNext/>
              <w:keepLines/>
              <w:spacing w:before="40" w:after="40"/>
            </w:pPr>
          </w:p>
        </w:tc>
        <w:tc>
          <w:tcPr>
            <w:tcW w:w="7120" w:type="dxa"/>
            <w:tcMar>
              <w:left w:w="60" w:type="dxa"/>
              <w:right w:w="40" w:type="dxa"/>
            </w:tcMar>
            <w:vAlign w:val="bottom"/>
          </w:tcPr>
          <w:p w14:paraId="16D5ECBC" w14:textId="77777777" w:rsidR="00C34995" w:rsidRPr="00B400ED" w:rsidRDefault="00C34995">
            <w:pPr>
              <w:keepNext/>
              <w:keepLines/>
              <w:spacing w:before="40" w:after="40"/>
              <w:rPr>
                <w:rFonts w:ascii="Arial" w:hAnsi="Arial" w:cs="Arial"/>
              </w:rPr>
            </w:pPr>
            <w:r w:rsidRPr="00B400ED">
              <w:rPr>
                <w:rFonts w:ascii="Arial" w:hAnsi="Arial" w:cs="Arial"/>
              </w:rPr>
              <w:t>Oil</w:t>
            </w:r>
          </w:p>
        </w:tc>
        <w:tc>
          <w:tcPr>
            <w:tcW w:w="180" w:type="dxa"/>
            <w:tcMar>
              <w:left w:w="60" w:type="dxa"/>
              <w:right w:w="0" w:type="dxa"/>
            </w:tcMar>
            <w:vAlign w:val="bottom"/>
          </w:tcPr>
          <w:p w14:paraId="27E79E66" w14:textId="77777777" w:rsidR="00C34995" w:rsidRDefault="00C34995">
            <w:pPr>
              <w:keepNext/>
              <w:keepLines/>
              <w:spacing w:before="40" w:after="40"/>
            </w:pPr>
          </w:p>
        </w:tc>
        <w:tc>
          <w:tcPr>
            <w:tcW w:w="122" w:type="dxa"/>
            <w:tcMar>
              <w:left w:w="0" w:type="dxa"/>
              <w:right w:w="0" w:type="dxa"/>
            </w:tcMar>
            <w:vAlign w:val="bottom"/>
          </w:tcPr>
          <w:p w14:paraId="7BB46812" w14:textId="77777777" w:rsidR="00C34995" w:rsidRDefault="00C34995">
            <w:pPr>
              <w:keepNext/>
              <w:keepLines/>
              <w:spacing w:before="40" w:after="40"/>
              <w:rPr>
                <w:rFonts w:ascii="Arial" w:eastAsia="Arial" w:hAnsi="Arial" w:cs="Arial"/>
              </w:rPr>
            </w:pPr>
            <w:r>
              <w:rPr>
                <w:rFonts w:ascii="Arial" w:eastAsia="Arial" w:hAnsi="Arial" w:cs="Arial"/>
                <w:color w:val="000000"/>
              </w:rPr>
              <w:t>$</w:t>
            </w:r>
          </w:p>
        </w:tc>
        <w:tc>
          <w:tcPr>
            <w:tcW w:w="781" w:type="dxa"/>
            <w:tcMar>
              <w:left w:w="0" w:type="dxa"/>
              <w:right w:w="0" w:type="dxa"/>
            </w:tcMar>
            <w:vAlign w:val="bottom"/>
          </w:tcPr>
          <w:p w14:paraId="53098382" w14:textId="2B349E42" w:rsidR="00C34995" w:rsidRDefault="00B40657">
            <w:pPr>
              <w:keepNext/>
              <w:keepLines/>
              <w:spacing w:before="40" w:after="40"/>
              <w:jc w:val="right"/>
              <w:rPr>
                <w:rFonts w:ascii="Arial" w:eastAsia="Arial" w:hAnsi="Arial" w:cs="Arial"/>
              </w:rPr>
            </w:pPr>
            <w:r>
              <w:rPr>
                <w:rFonts w:ascii="Arial" w:eastAsia="Arial" w:hAnsi="Arial" w:cs="Arial"/>
              </w:rPr>
              <w:t>7</w:t>
            </w:r>
            <w:r w:rsidR="00CD366C">
              <w:rPr>
                <w:rFonts w:ascii="Arial" w:eastAsia="Arial" w:hAnsi="Arial" w:cs="Arial"/>
              </w:rPr>
              <w:t>1</w:t>
            </w:r>
            <w:r>
              <w:rPr>
                <w:rFonts w:ascii="Arial" w:eastAsia="Arial" w:hAnsi="Arial" w:cs="Arial"/>
              </w:rPr>
              <w:t>.</w:t>
            </w:r>
            <w:r w:rsidR="00CD366C">
              <w:rPr>
                <w:rFonts w:ascii="Arial" w:eastAsia="Arial" w:hAnsi="Arial" w:cs="Arial"/>
              </w:rPr>
              <w:t>86</w:t>
            </w:r>
          </w:p>
        </w:tc>
        <w:tc>
          <w:tcPr>
            <w:tcW w:w="77" w:type="dxa"/>
            <w:tcMar>
              <w:left w:w="0" w:type="dxa"/>
              <w:right w:w="0" w:type="dxa"/>
            </w:tcMar>
          </w:tcPr>
          <w:p w14:paraId="2F06ED91" w14:textId="4374B20A" w:rsidR="00C34995" w:rsidRDefault="00C34995"/>
        </w:tc>
        <w:tc>
          <w:tcPr>
            <w:tcW w:w="300" w:type="dxa"/>
            <w:tcMar>
              <w:left w:w="60" w:type="dxa"/>
              <w:right w:w="0" w:type="dxa"/>
            </w:tcMar>
            <w:vAlign w:val="bottom"/>
          </w:tcPr>
          <w:p w14:paraId="37D49743" w14:textId="77777777" w:rsidR="00C34995" w:rsidRDefault="00C34995">
            <w:pPr>
              <w:keepNext/>
              <w:keepLines/>
              <w:spacing w:before="40" w:after="40"/>
            </w:pPr>
          </w:p>
        </w:tc>
      </w:tr>
      <w:tr w:rsidR="00C34995" w14:paraId="26EDC38B" w14:textId="77777777" w:rsidTr="002B385B">
        <w:trPr>
          <w:trHeight w:hRule="exact" w:val="297"/>
          <w:jc w:val="center"/>
        </w:trPr>
        <w:tc>
          <w:tcPr>
            <w:tcW w:w="440" w:type="dxa"/>
            <w:tcMar>
              <w:left w:w="60" w:type="dxa"/>
              <w:right w:w="0" w:type="dxa"/>
            </w:tcMar>
            <w:vAlign w:val="bottom"/>
          </w:tcPr>
          <w:p w14:paraId="49B663FD" w14:textId="77777777" w:rsidR="00C34995" w:rsidRDefault="00C34995">
            <w:pPr>
              <w:keepNext/>
              <w:keepLines/>
              <w:spacing w:before="40" w:after="40"/>
            </w:pPr>
          </w:p>
        </w:tc>
        <w:tc>
          <w:tcPr>
            <w:tcW w:w="7120" w:type="dxa"/>
            <w:tcMar>
              <w:left w:w="60" w:type="dxa"/>
              <w:right w:w="40" w:type="dxa"/>
            </w:tcMar>
            <w:vAlign w:val="bottom"/>
          </w:tcPr>
          <w:p w14:paraId="7526B2F4" w14:textId="01AC72A6" w:rsidR="00C34995" w:rsidRPr="00B400ED" w:rsidRDefault="00C34995">
            <w:pPr>
              <w:keepNext/>
              <w:keepLines/>
              <w:spacing w:before="40" w:after="40"/>
              <w:rPr>
                <w:rFonts w:ascii="Arial" w:hAnsi="Arial" w:cs="Arial"/>
              </w:rPr>
            </w:pPr>
            <w:r w:rsidRPr="00B400ED">
              <w:rPr>
                <w:rFonts w:ascii="Arial" w:hAnsi="Arial" w:cs="Arial"/>
              </w:rPr>
              <w:t>Natural gas</w:t>
            </w:r>
          </w:p>
        </w:tc>
        <w:tc>
          <w:tcPr>
            <w:tcW w:w="180" w:type="dxa"/>
            <w:tcMar>
              <w:left w:w="60" w:type="dxa"/>
              <w:right w:w="0" w:type="dxa"/>
            </w:tcMar>
            <w:vAlign w:val="bottom"/>
          </w:tcPr>
          <w:p w14:paraId="68AC36DF" w14:textId="77777777" w:rsidR="00C34995" w:rsidRDefault="00C34995">
            <w:pPr>
              <w:keepNext/>
              <w:keepLines/>
              <w:spacing w:before="40" w:after="40"/>
            </w:pPr>
          </w:p>
        </w:tc>
        <w:tc>
          <w:tcPr>
            <w:tcW w:w="122" w:type="dxa"/>
            <w:tcMar>
              <w:left w:w="0" w:type="dxa"/>
              <w:right w:w="0" w:type="dxa"/>
            </w:tcMar>
            <w:vAlign w:val="bottom"/>
          </w:tcPr>
          <w:p w14:paraId="31C1E925" w14:textId="77777777" w:rsidR="00C34995" w:rsidRDefault="00C34995">
            <w:pPr>
              <w:keepNext/>
              <w:keepLines/>
              <w:spacing w:before="40" w:after="40"/>
              <w:rPr>
                <w:rFonts w:ascii="Arial" w:eastAsia="Arial" w:hAnsi="Arial" w:cs="Arial"/>
              </w:rPr>
            </w:pPr>
            <w:r>
              <w:rPr>
                <w:rFonts w:ascii="Arial" w:eastAsia="Arial" w:hAnsi="Arial" w:cs="Arial"/>
                <w:color w:val="000000"/>
              </w:rPr>
              <w:t>$</w:t>
            </w:r>
          </w:p>
        </w:tc>
        <w:tc>
          <w:tcPr>
            <w:tcW w:w="781" w:type="dxa"/>
            <w:tcMar>
              <w:left w:w="0" w:type="dxa"/>
              <w:right w:w="0" w:type="dxa"/>
            </w:tcMar>
            <w:vAlign w:val="bottom"/>
          </w:tcPr>
          <w:p w14:paraId="049CB8C7" w14:textId="784DA7C9" w:rsidR="001350FB" w:rsidRDefault="001350FB">
            <w:pPr>
              <w:keepNext/>
              <w:keepLines/>
              <w:spacing w:before="40" w:after="40"/>
              <w:jc w:val="right"/>
              <w:rPr>
                <w:rFonts w:ascii="Arial" w:eastAsia="Arial" w:hAnsi="Arial" w:cs="Arial"/>
              </w:rPr>
            </w:pPr>
            <w:r>
              <w:rPr>
                <w:rFonts w:ascii="Arial" w:eastAsia="Arial" w:hAnsi="Arial" w:cs="Arial"/>
              </w:rPr>
              <w:t>1</w:t>
            </w:r>
            <w:r w:rsidR="00B40657">
              <w:rPr>
                <w:rFonts w:ascii="Arial" w:eastAsia="Arial" w:hAnsi="Arial" w:cs="Arial"/>
              </w:rPr>
              <w:t>.</w:t>
            </w:r>
            <w:r w:rsidR="00CD366C">
              <w:rPr>
                <w:rFonts w:ascii="Arial" w:eastAsia="Arial" w:hAnsi="Arial" w:cs="Arial"/>
              </w:rPr>
              <w:t>8</w:t>
            </w:r>
            <w:r>
              <w:rPr>
                <w:rFonts w:ascii="Arial" w:eastAsia="Arial" w:hAnsi="Arial" w:cs="Arial"/>
              </w:rPr>
              <w:t>3</w:t>
            </w:r>
          </w:p>
          <w:p w14:paraId="50A76EC0" w14:textId="77777777" w:rsidR="001350FB" w:rsidRDefault="001350FB">
            <w:pPr>
              <w:keepNext/>
              <w:keepLines/>
              <w:spacing w:before="40" w:after="40"/>
              <w:jc w:val="right"/>
              <w:rPr>
                <w:rFonts w:ascii="Arial" w:eastAsia="Arial" w:hAnsi="Arial" w:cs="Arial"/>
              </w:rPr>
            </w:pPr>
          </w:p>
          <w:p w14:paraId="771A0C00" w14:textId="0B696604" w:rsidR="00C34995" w:rsidRDefault="001350FB">
            <w:pPr>
              <w:keepNext/>
              <w:keepLines/>
              <w:spacing w:before="40" w:after="40"/>
              <w:jc w:val="right"/>
              <w:rPr>
                <w:rFonts w:ascii="Arial" w:eastAsia="Arial" w:hAnsi="Arial" w:cs="Arial"/>
              </w:rPr>
            </w:pPr>
            <w:r>
              <w:rPr>
                <w:rFonts w:ascii="Arial" w:eastAsia="Arial" w:hAnsi="Arial" w:cs="Arial"/>
              </w:rPr>
              <w:t>3</w:t>
            </w:r>
            <w:r w:rsidR="00B40657">
              <w:rPr>
                <w:rFonts w:ascii="Arial" w:eastAsia="Arial" w:hAnsi="Arial" w:cs="Arial"/>
              </w:rPr>
              <w:t>3</w:t>
            </w:r>
          </w:p>
        </w:tc>
        <w:tc>
          <w:tcPr>
            <w:tcW w:w="77" w:type="dxa"/>
            <w:tcMar>
              <w:left w:w="0" w:type="dxa"/>
              <w:right w:w="0" w:type="dxa"/>
            </w:tcMar>
            <w:vAlign w:val="bottom"/>
          </w:tcPr>
          <w:p w14:paraId="3D4B5ADB" w14:textId="77777777" w:rsidR="00C34995" w:rsidRDefault="00C34995">
            <w:pPr>
              <w:keepNext/>
              <w:keepLines/>
              <w:spacing w:before="40" w:after="40"/>
              <w:rPr>
                <w:rFonts w:ascii="Arial" w:eastAsia="Arial" w:hAnsi="Arial" w:cs="Arial"/>
              </w:rPr>
            </w:pPr>
          </w:p>
        </w:tc>
        <w:tc>
          <w:tcPr>
            <w:tcW w:w="300" w:type="dxa"/>
            <w:tcMar>
              <w:left w:w="60" w:type="dxa"/>
              <w:right w:w="0" w:type="dxa"/>
            </w:tcMar>
            <w:vAlign w:val="bottom"/>
          </w:tcPr>
          <w:p w14:paraId="0EE94AF8" w14:textId="77777777" w:rsidR="00C34995" w:rsidRDefault="00C34995">
            <w:pPr>
              <w:keepNext/>
              <w:keepLines/>
              <w:spacing w:before="40" w:after="40"/>
            </w:pPr>
          </w:p>
        </w:tc>
      </w:tr>
      <w:tr w:rsidR="00C34995" w14:paraId="5631029A" w14:textId="77777777" w:rsidTr="00B400ED">
        <w:trPr>
          <w:trHeight w:hRule="exact" w:val="288"/>
          <w:jc w:val="center"/>
        </w:trPr>
        <w:tc>
          <w:tcPr>
            <w:tcW w:w="440" w:type="dxa"/>
            <w:tcMar>
              <w:left w:w="60" w:type="dxa"/>
              <w:right w:w="0" w:type="dxa"/>
            </w:tcMar>
            <w:vAlign w:val="bottom"/>
          </w:tcPr>
          <w:p w14:paraId="0A736EDC" w14:textId="77777777" w:rsidR="00C34995" w:rsidRDefault="00C34995">
            <w:pPr>
              <w:keepNext/>
              <w:keepLines/>
              <w:spacing w:before="40" w:after="40"/>
            </w:pPr>
          </w:p>
        </w:tc>
        <w:tc>
          <w:tcPr>
            <w:tcW w:w="7120" w:type="dxa"/>
            <w:tcMar>
              <w:left w:w="60" w:type="dxa"/>
              <w:right w:w="40" w:type="dxa"/>
            </w:tcMar>
            <w:vAlign w:val="bottom"/>
          </w:tcPr>
          <w:p w14:paraId="0970ACB7" w14:textId="77777777" w:rsidR="00C34995" w:rsidRPr="00B400ED" w:rsidRDefault="00C34995">
            <w:pPr>
              <w:keepNext/>
              <w:keepLines/>
              <w:spacing w:before="40" w:after="40"/>
              <w:rPr>
                <w:rFonts w:ascii="Arial" w:hAnsi="Arial" w:cs="Arial"/>
              </w:rPr>
            </w:pPr>
            <w:r w:rsidRPr="00B400ED">
              <w:rPr>
                <w:rFonts w:ascii="Arial" w:hAnsi="Arial" w:cs="Arial"/>
              </w:rPr>
              <w:t>Natural gas liquids</w:t>
            </w:r>
          </w:p>
        </w:tc>
        <w:tc>
          <w:tcPr>
            <w:tcW w:w="180" w:type="dxa"/>
            <w:tcMar>
              <w:left w:w="60" w:type="dxa"/>
              <w:right w:w="0" w:type="dxa"/>
            </w:tcMar>
            <w:vAlign w:val="bottom"/>
          </w:tcPr>
          <w:p w14:paraId="429EA433" w14:textId="77777777" w:rsidR="00C34995" w:rsidRDefault="00C34995">
            <w:pPr>
              <w:keepNext/>
              <w:keepLines/>
              <w:spacing w:before="40" w:after="40"/>
            </w:pPr>
          </w:p>
        </w:tc>
        <w:tc>
          <w:tcPr>
            <w:tcW w:w="122" w:type="dxa"/>
            <w:tcMar>
              <w:left w:w="0" w:type="dxa"/>
              <w:right w:w="0" w:type="dxa"/>
            </w:tcMar>
            <w:vAlign w:val="bottom"/>
          </w:tcPr>
          <w:p w14:paraId="5B0E0973" w14:textId="77777777" w:rsidR="00C34995" w:rsidRDefault="00C34995">
            <w:pPr>
              <w:keepNext/>
              <w:keepLines/>
              <w:spacing w:before="40" w:after="40"/>
              <w:rPr>
                <w:rFonts w:ascii="Arial" w:eastAsia="Arial" w:hAnsi="Arial" w:cs="Arial"/>
              </w:rPr>
            </w:pPr>
            <w:r>
              <w:rPr>
                <w:rFonts w:ascii="Arial" w:eastAsia="Arial" w:hAnsi="Arial" w:cs="Arial"/>
                <w:color w:val="000000"/>
              </w:rPr>
              <w:t>$</w:t>
            </w:r>
          </w:p>
        </w:tc>
        <w:tc>
          <w:tcPr>
            <w:tcW w:w="781" w:type="dxa"/>
            <w:tcMar>
              <w:left w:w="0" w:type="dxa"/>
              <w:right w:w="0" w:type="dxa"/>
            </w:tcMar>
            <w:vAlign w:val="bottom"/>
          </w:tcPr>
          <w:p w14:paraId="448D6136" w14:textId="0D1C2849" w:rsidR="00C34995" w:rsidRDefault="001350FB">
            <w:pPr>
              <w:keepNext/>
              <w:keepLines/>
              <w:spacing w:before="40" w:after="40"/>
              <w:jc w:val="right"/>
              <w:rPr>
                <w:rFonts w:ascii="Arial" w:eastAsia="Arial" w:hAnsi="Arial" w:cs="Arial"/>
              </w:rPr>
            </w:pPr>
            <w:r>
              <w:rPr>
                <w:rFonts w:ascii="Arial" w:eastAsia="Arial" w:hAnsi="Arial" w:cs="Arial"/>
              </w:rPr>
              <w:t>1</w:t>
            </w:r>
            <w:r w:rsidR="00231BF4">
              <w:rPr>
                <w:rFonts w:ascii="Arial" w:eastAsia="Arial" w:hAnsi="Arial" w:cs="Arial"/>
              </w:rPr>
              <w:t>5</w:t>
            </w:r>
            <w:r w:rsidR="00B40657">
              <w:rPr>
                <w:rFonts w:ascii="Arial" w:eastAsia="Arial" w:hAnsi="Arial" w:cs="Arial"/>
              </w:rPr>
              <w:t>.</w:t>
            </w:r>
            <w:r w:rsidR="00231BF4">
              <w:rPr>
                <w:rFonts w:ascii="Arial" w:eastAsia="Arial" w:hAnsi="Arial" w:cs="Arial"/>
              </w:rPr>
              <w:t>68</w:t>
            </w:r>
          </w:p>
        </w:tc>
        <w:tc>
          <w:tcPr>
            <w:tcW w:w="77" w:type="dxa"/>
            <w:tcMar>
              <w:left w:w="0" w:type="dxa"/>
              <w:right w:w="0" w:type="dxa"/>
            </w:tcMar>
          </w:tcPr>
          <w:p w14:paraId="7ED725B0" w14:textId="77777777" w:rsidR="00C34995" w:rsidRDefault="00C34995"/>
        </w:tc>
        <w:tc>
          <w:tcPr>
            <w:tcW w:w="300" w:type="dxa"/>
            <w:tcMar>
              <w:left w:w="60" w:type="dxa"/>
              <w:right w:w="0" w:type="dxa"/>
            </w:tcMar>
            <w:vAlign w:val="bottom"/>
          </w:tcPr>
          <w:p w14:paraId="1ECDBF4F" w14:textId="77777777" w:rsidR="00C34995" w:rsidRDefault="00C34995">
            <w:pPr>
              <w:keepNext/>
              <w:keepLines/>
              <w:spacing w:before="40" w:after="40"/>
            </w:pPr>
          </w:p>
        </w:tc>
      </w:tr>
      <w:tr w:rsidR="00C34995" w14:paraId="6CDE6DD0" w14:textId="77777777">
        <w:trPr>
          <w:trHeight w:hRule="exact" w:val="260"/>
          <w:jc w:val="center"/>
        </w:trPr>
        <w:tc>
          <w:tcPr>
            <w:tcW w:w="440" w:type="dxa"/>
            <w:tcMar>
              <w:left w:w="60" w:type="dxa"/>
              <w:right w:w="0" w:type="dxa"/>
            </w:tcMar>
            <w:vAlign w:val="bottom"/>
          </w:tcPr>
          <w:p w14:paraId="313DC409" w14:textId="77777777" w:rsidR="00C34995" w:rsidRDefault="00C34995">
            <w:pPr>
              <w:keepNext/>
              <w:keepLines/>
              <w:spacing w:before="40" w:after="40"/>
            </w:pPr>
          </w:p>
        </w:tc>
        <w:tc>
          <w:tcPr>
            <w:tcW w:w="7120" w:type="dxa"/>
            <w:tcMar>
              <w:left w:w="60" w:type="dxa"/>
              <w:right w:w="0" w:type="dxa"/>
            </w:tcMar>
            <w:vAlign w:val="bottom"/>
          </w:tcPr>
          <w:p w14:paraId="29964AF0" w14:textId="77777777" w:rsidR="00C34995" w:rsidRDefault="00C34995">
            <w:pPr>
              <w:keepNext/>
              <w:keepLines/>
              <w:spacing w:before="40" w:after="40"/>
            </w:pPr>
          </w:p>
        </w:tc>
        <w:tc>
          <w:tcPr>
            <w:tcW w:w="180" w:type="dxa"/>
            <w:tcMar>
              <w:left w:w="60" w:type="dxa"/>
              <w:right w:w="0" w:type="dxa"/>
            </w:tcMar>
            <w:vAlign w:val="bottom"/>
          </w:tcPr>
          <w:p w14:paraId="05C59F79" w14:textId="77777777" w:rsidR="00C34995" w:rsidRDefault="00C34995">
            <w:pPr>
              <w:keepNext/>
              <w:keepLines/>
              <w:spacing w:before="40" w:after="40"/>
            </w:pPr>
          </w:p>
        </w:tc>
        <w:tc>
          <w:tcPr>
            <w:tcW w:w="0" w:type="dxa"/>
            <w:gridSpan w:val="3"/>
            <w:tcMar>
              <w:left w:w="60" w:type="dxa"/>
              <w:right w:w="0" w:type="dxa"/>
            </w:tcMar>
            <w:vAlign w:val="bottom"/>
          </w:tcPr>
          <w:p w14:paraId="0983A6F9" w14:textId="77777777" w:rsidR="00C34995" w:rsidRDefault="00C34995">
            <w:pPr>
              <w:keepNext/>
              <w:keepLines/>
              <w:spacing w:before="40" w:after="40"/>
            </w:pPr>
          </w:p>
        </w:tc>
        <w:tc>
          <w:tcPr>
            <w:tcW w:w="300" w:type="dxa"/>
            <w:tcMar>
              <w:left w:w="60" w:type="dxa"/>
              <w:right w:w="0" w:type="dxa"/>
            </w:tcMar>
            <w:vAlign w:val="bottom"/>
          </w:tcPr>
          <w:p w14:paraId="1AA952E9" w14:textId="77777777" w:rsidR="00C34995" w:rsidRDefault="00C34995">
            <w:pPr>
              <w:keepNext/>
              <w:keepLines/>
              <w:spacing w:before="40" w:after="40"/>
            </w:pPr>
          </w:p>
        </w:tc>
      </w:tr>
      <w:tr w:rsidR="00C34995" w14:paraId="24BF9B13" w14:textId="77777777" w:rsidTr="00B400ED">
        <w:trPr>
          <w:trHeight w:hRule="exact" w:val="288"/>
          <w:jc w:val="center"/>
        </w:trPr>
        <w:tc>
          <w:tcPr>
            <w:tcW w:w="7560" w:type="dxa"/>
            <w:gridSpan w:val="2"/>
            <w:tcMar>
              <w:left w:w="60" w:type="dxa"/>
              <w:right w:w="40" w:type="dxa"/>
            </w:tcMar>
            <w:vAlign w:val="bottom"/>
          </w:tcPr>
          <w:p w14:paraId="2C27B51B" w14:textId="77777777" w:rsidR="00C34995" w:rsidRDefault="00C34995">
            <w:pPr>
              <w:keepNext/>
              <w:keepLines/>
              <w:spacing w:before="40" w:after="40"/>
              <w:rPr>
                <w:rFonts w:ascii="Arial" w:eastAsia="Arial" w:hAnsi="Arial" w:cs="Arial"/>
              </w:rPr>
            </w:pPr>
            <w:r>
              <w:rPr>
                <w:rFonts w:ascii="Arial" w:eastAsia="Arial" w:hAnsi="Arial" w:cs="Arial"/>
                <w:color w:val="000000"/>
              </w:rPr>
              <w:t>Distributable income calculation (in thousands except per unit income):</w:t>
            </w:r>
          </w:p>
        </w:tc>
        <w:tc>
          <w:tcPr>
            <w:tcW w:w="180" w:type="dxa"/>
            <w:tcMar>
              <w:left w:w="60" w:type="dxa"/>
              <w:right w:w="0" w:type="dxa"/>
            </w:tcMar>
            <w:vAlign w:val="bottom"/>
          </w:tcPr>
          <w:p w14:paraId="0A5BA00F" w14:textId="77777777" w:rsidR="00C34995" w:rsidRDefault="00C34995">
            <w:pPr>
              <w:keepNext/>
              <w:keepLines/>
              <w:spacing w:before="40" w:after="40"/>
            </w:pPr>
          </w:p>
        </w:tc>
        <w:tc>
          <w:tcPr>
            <w:tcW w:w="0" w:type="dxa"/>
            <w:gridSpan w:val="3"/>
            <w:tcMar>
              <w:left w:w="60" w:type="dxa"/>
              <w:right w:w="0" w:type="dxa"/>
            </w:tcMar>
            <w:vAlign w:val="bottom"/>
          </w:tcPr>
          <w:p w14:paraId="78180B5B" w14:textId="77777777" w:rsidR="00C34995" w:rsidRDefault="00C34995">
            <w:pPr>
              <w:keepNext/>
              <w:keepLines/>
              <w:spacing w:before="40" w:after="40"/>
            </w:pPr>
          </w:p>
        </w:tc>
        <w:tc>
          <w:tcPr>
            <w:tcW w:w="300" w:type="dxa"/>
            <w:tcMar>
              <w:left w:w="60" w:type="dxa"/>
              <w:right w:w="0" w:type="dxa"/>
            </w:tcMar>
            <w:vAlign w:val="bottom"/>
          </w:tcPr>
          <w:p w14:paraId="4D788CD5" w14:textId="77777777" w:rsidR="00C34995" w:rsidRDefault="00C34995">
            <w:pPr>
              <w:keepNext/>
              <w:keepLines/>
              <w:spacing w:before="40" w:after="40"/>
            </w:pPr>
          </w:p>
        </w:tc>
      </w:tr>
      <w:tr w:rsidR="00C34995" w14:paraId="414CCD5F" w14:textId="77777777" w:rsidTr="002B385B">
        <w:trPr>
          <w:trHeight w:hRule="exact" w:val="288"/>
          <w:jc w:val="center"/>
        </w:trPr>
        <w:tc>
          <w:tcPr>
            <w:tcW w:w="440" w:type="dxa"/>
            <w:tcMar>
              <w:left w:w="60" w:type="dxa"/>
              <w:right w:w="0" w:type="dxa"/>
            </w:tcMar>
            <w:vAlign w:val="bottom"/>
          </w:tcPr>
          <w:p w14:paraId="65ACFD9E" w14:textId="77777777" w:rsidR="00C34995" w:rsidRDefault="00C34995">
            <w:pPr>
              <w:keepNext/>
              <w:keepLines/>
              <w:spacing w:before="40" w:after="40"/>
            </w:pPr>
          </w:p>
        </w:tc>
        <w:tc>
          <w:tcPr>
            <w:tcW w:w="7120" w:type="dxa"/>
            <w:tcMar>
              <w:left w:w="60" w:type="dxa"/>
              <w:right w:w="40" w:type="dxa"/>
            </w:tcMar>
            <w:vAlign w:val="bottom"/>
          </w:tcPr>
          <w:p w14:paraId="388A8ECF" w14:textId="77777777" w:rsidR="00C34995" w:rsidRDefault="00C34995">
            <w:pPr>
              <w:keepNext/>
              <w:keepLines/>
              <w:spacing w:before="40" w:after="40"/>
              <w:rPr>
                <w:rFonts w:ascii="Arial" w:eastAsia="Arial" w:hAnsi="Arial" w:cs="Arial"/>
              </w:rPr>
            </w:pPr>
            <w:r>
              <w:rPr>
                <w:rFonts w:ascii="Arial" w:eastAsia="Arial" w:hAnsi="Arial" w:cs="Arial"/>
              </w:rPr>
              <w:t>Revenue less production taxes</w:t>
            </w:r>
            <w:r>
              <w:rPr>
                <w:rFonts w:ascii="Arial" w:eastAsia="Arial" w:hAnsi="Arial" w:cs="Arial"/>
                <w:vertAlign w:val="superscript"/>
              </w:rPr>
              <w:t>(1)</w:t>
            </w:r>
          </w:p>
        </w:tc>
        <w:tc>
          <w:tcPr>
            <w:tcW w:w="180" w:type="dxa"/>
            <w:tcMar>
              <w:left w:w="60" w:type="dxa"/>
              <w:right w:w="0" w:type="dxa"/>
            </w:tcMar>
            <w:vAlign w:val="bottom"/>
          </w:tcPr>
          <w:p w14:paraId="36957111" w14:textId="77777777" w:rsidR="00C34995" w:rsidRDefault="00C34995">
            <w:pPr>
              <w:keepNext/>
              <w:keepLines/>
              <w:spacing w:before="40" w:after="40"/>
            </w:pPr>
          </w:p>
        </w:tc>
        <w:tc>
          <w:tcPr>
            <w:tcW w:w="122" w:type="dxa"/>
            <w:tcMar>
              <w:left w:w="0" w:type="dxa"/>
              <w:right w:w="0" w:type="dxa"/>
            </w:tcMar>
            <w:vAlign w:val="bottom"/>
          </w:tcPr>
          <w:p w14:paraId="1E1F7929" w14:textId="77777777" w:rsidR="00C34995" w:rsidRDefault="00C34995">
            <w:pPr>
              <w:keepNext/>
              <w:keepLines/>
              <w:spacing w:before="40" w:after="40"/>
              <w:rPr>
                <w:rFonts w:ascii="Arial" w:eastAsia="Arial" w:hAnsi="Arial" w:cs="Arial"/>
              </w:rPr>
            </w:pPr>
            <w:r>
              <w:rPr>
                <w:rFonts w:ascii="Arial" w:eastAsia="Arial" w:hAnsi="Arial" w:cs="Arial"/>
                <w:color w:val="000000"/>
              </w:rPr>
              <w:t>$</w:t>
            </w:r>
          </w:p>
        </w:tc>
        <w:tc>
          <w:tcPr>
            <w:tcW w:w="781" w:type="dxa"/>
            <w:tcMar>
              <w:left w:w="0" w:type="dxa"/>
              <w:right w:w="0" w:type="dxa"/>
            </w:tcMar>
            <w:vAlign w:val="bottom"/>
          </w:tcPr>
          <w:p w14:paraId="3877E785" w14:textId="33A31AC7" w:rsidR="00C34995" w:rsidRDefault="001350FB">
            <w:pPr>
              <w:keepNext/>
              <w:keepLines/>
              <w:spacing w:before="40" w:after="40"/>
              <w:jc w:val="right"/>
              <w:rPr>
                <w:rFonts w:ascii="Arial" w:eastAsia="Arial" w:hAnsi="Arial" w:cs="Arial"/>
              </w:rPr>
            </w:pPr>
            <w:r>
              <w:rPr>
                <w:rFonts w:ascii="Arial" w:eastAsia="Arial" w:hAnsi="Arial" w:cs="Arial"/>
              </w:rPr>
              <w:t>1</w:t>
            </w:r>
            <w:r w:rsidR="0041252C">
              <w:rPr>
                <w:rFonts w:ascii="Arial" w:eastAsia="Arial" w:hAnsi="Arial" w:cs="Arial"/>
              </w:rPr>
              <w:t>,</w:t>
            </w:r>
            <w:r w:rsidR="00937945">
              <w:rPr>
                <w:rFonts w:ascii="Arial" w:eastAsia="Arial" w:hAnsi="Arial" w:cs="Arial"/>
              </w:rPr>
              <w:t>808</w:t>
            </w:r>
          </w:p>
        </w:tc>
        <w:tc>
          <w:tcPr>
            <w:tcW w:w="77" w:type="dxa"/>
            <w:tcMar>
              <w:left w:w="0" w:type="dxa"/>
              <w:right w:w="0" w:type="dxa"/>
            </w:tcMar>
          </w:tcPr>
          <w:p w14:paraId="6AF9BA0C" w14:textId="77777777" w:rsidR="00C34995" w:rsidRDefault="00C34995"/>
        </w:tc>
        <w:tc>
          <w:tcPr>
            <w:tcW w:w="300" w:type="dxa"/>
            <w:tcMar>
              <w:left w:w="60" w:type="dxa"/>
              <w:right w:w="0" w:type="dxa"/>
            </w:tcMar>
            <w:vAlign w:val="bottom"/>
          </w:tcPr>
          <w:p w14:paraId="09634B4F" w14:textId="77777777" w:rsidR="00C34995" w:rsidRDefault="00C34995">
            <w:pPr>
              <w:keepNext/>
              <w:keepLines/>
              <w:spacing w:before="40" w:after="40"/>
            </w:pPr>
          </w:p>
        </w:tc>
      </w:tr>
      <w:tr w:rsidR="00C34995" w14:paraId="1E3F64CB" w14:textId="77777777" w:rsidTr="002B385B">
        <w:trPr>
          <w:trHeight w:hRule="exact" w:val="288"/>
          <w:jc w:val="center"/>
        </w:trPr>
        <w:tc>
          <w:tcPr>
            <w:tcW w:w="440" w:type="dxa"/>
            <w:tcMar>
              <w:left w:w="60" w:type="dxa"/>
              <w:right w:w="0" w:type="dxa"/>
            </w:tcMar>
            <w:vAlign w:val="bottom"/>
          </w:tcPr>
          <w:p w14:paraId="3A6F8DC7" w14:textId="77777777" w:rsidR="00C34995" w:rsidRDefault="00C34995">
            <w:pPr>
              <w:keepNext/>
              <w:keepLines/>
              <w:spacing w:before="40" w:after="40"/>
            </w:pPr>
          </w:p>
        </w:tc>
        <w:tc>
          <w:tcPr>
            <w:tcW w:w="7120" w:type="dxa"/>
            <w:tcMar>
              <w:left w:w="60" w:type="dxa"/>
              <w:right w:w="40" w:type="dxa"/>
            </w:tcMar>
            <w:vAlign w:val="bottom"/>
          </w:tcPr>
          <w:p w14:paraId="649EE415" w14:textId="77777777" w:rsidR="00C34995" w:rsidRDefault="00C34995">
            <w:pPr>
              <w:keepNext/>
              <w:keepLines/>
              <w:spacing w:before="40" w:after="40"/>
              <w:rPr>
                <w:rFonts w:ascii="Arial" w:eastAsia="Arial" w:hAnsi="Arial" w:cs="Arial"/>
              </w:rPr>
            </w:pPr>
            <w:r>
              <w:rPr>
                <w:rFonts w:ascii="Arial" w:eastAsia="Arial" w:hAnsi="Arial" w:cs="Arial"/>
                <w:color w:val="000000"/>
              </w:rPr>
              <w:t>Trust administrative expenses</w:t>
            </w:r>
          </w:p>
        </w:tc>
        <w:tc>
          <w:tcPr>
            <w:tcW w:w="180" w:type="dxa"/>
            <w:tcMar>
              <w:left w:w="60" w:type="dxa"/>
              <w:right w:w="0" w:type="dxa"/>
            </w:tcMar>
            <w:vAlign w:val="bottom"/>
          </w:tcPr>
          <w:p w14:paraId="3EA0DCD6" w14:textId="77777777" w:rsidR="00C34995" w:rsidRDefault="00C34995">
            <w:pPr>
              <w:keepNext/>
              <w:keepLines/>
              <w:spacing w:before="40" w:after="40"/>
            </w:pPr>
          </w:p>
        </w:tc>
        <w:tc>
          <w:tcPr>
            <w:tcW w:w="903" w:type="dxa"/>
            <w:gridSpan w:val="2"/>
            <w:tcMar>
              <w:left w:w="0" w:type="dxa"/>
              <w:right w:w="0" w:type="dxa"/>
            </w:tcMar>
            <w:vAlign w:val="bottom"/>
          </w:tcPr>
          <w:p w14:paraId="3C44C41A" w14:textId="166B0A98" w:rsidR="00C34995" w:rsidRPr="00085AB5" w:rsidRDefault="00982349">
            <w:pPr>
              <w:keepNext/>
              <w:keepLines/>
              <w:spacing w:before="40" w:after="40"/>
              <w:jc w:val="right"/>
              <w:rPr>
                <w:rFonts w:ascii="Arial" w:eastAsia="Arial" w:hAnsi="Arial" w:cs="Arial"/>
                <w:color w:val="000000"/>
              </w:rPr>
            </w:pPr>
            <w:r>
              <w:rPr>
                <w:rFonts w:ascii="Arial" w:eastAsia="Arial" w:hAnsi="Arial" w:cs="Arial"/>
                <w:color w:val="000000"/>
              </w:rPr>
              <w:t>(</w:t>
            </w:r>
            <w:r w:rsidR="00937945">
              <w:rPr>
                <w:rFonts w:ascii="Arial" w:eastAsia="Arial" w:hAnsi="Arial" w:cs="Arial"/>
                <w:color w:val="000000"/>
              </w:rPr>
              <w:t>13</w:t>
            </w:r>
            <w:r w:rsidR="00933D09">
              <w:rPr>
                <w:rFonts w:ascii="Arial" w:eastAsia="Arial" w:hAnsi="Arial" w:cs="Arial"/>
                <w:color w:val="000000"/>
              </w:rPr>
              <w:t>6</w:t>
            </w:r>
            <w:r>
              <w:rPr>
                <w:rFonts w:ascii="Arial" w:eastAsia="Arial" w:hAnsi="Arial" w:cs="Arial"/>
                <w:color w:val="000000"/>
              </w:rPr>
              <w:t>)</w:t>
            </w:r>
          </w:p>
        </w:tc>
        <w:tc>
          <w:tcPr>
            <w:tcW w:w="77" w:type="dxa"/>
            <w:tcMar>
              <w:left w:w="0" w:type="dxa"/>
              <w:right w:w="0" w:type="dxa"/>
            </w:tcMar>
            <w:vAlign w:val="bottom"/>
          </w:tcPr>
          <w:p w14:paraId="3523E26D" w14:textId="4C7DBEA1" w:rsidR="00C34995" w:rsidRPr="00085AB5" w:rsidRDefault="00C34995">
            <w:pPr>
              <w:keepNext/>
              <w:keepLines/>
              <w:spacing w:before="40" w:after="40"/>
              <w:rPr>
                <w:rFonts w:ascii="Arial" w:eastAsia="Arial" w:hAnsi="Arial" w:cs="Arial"/>
                <w:color w:val="000000"/>
              </w:rPr>
            </w:pPr>
          </w:p>
        </w:tc>
        <w:tc>
          <w:tcPr>
            <w:tcW w:w="300" w:type="dxa"/>
            <w:tcMar>
              <w:left w:w="0" w:type="dxa"/>
              <w:right w:w="60" w:type="dxa"/>
            </w:tcMar>
            <w:vAlign w:val="bottom"/>
          </w:tcPr>
          <w:p w14:paraId="3CB2464A" w14:textId="77777777" w:rsidR="00C34995" w:rsidRPr="00085AB5" w:rsidRDefault="00C34995">
            <w:pPr>
              <w:keepNext/>
              <w:keepLines/>
              <w:spacing w:before="40" w:after="40"/>
              <w:rPr>
                <w:rFonts w:ascii="Arial" w:eastAsia="Arial" w:hAnsi="Arial" w:cs="Arial"/>
                <w:color w:val="000000"/>
              </w:rPr>
            </w:pPr>
          </w:p>
        </w:tc>
      </w:tr>
      <w:tr w:rsidR="00C34995" w14:paraId="23F86247" w14:textId="77777777" w:rsidTr="002B385B">
        <w:trPr>
          <w:trHeight w:hRule="exact" w:val="288"/>
          <w:jc w:val="center"/>
        </w:trPr>
        <w:tc>
          <w:tcPr>
            <w:tcW w:w="440" w:type="dxa"/>
            <w:tcMar>
              <w:left w:w="60" w:type="dxa"/>
              <w:right w:w="0" w:type="dxa"/>
            </w:tcMar>
            <w:vAlign w:val="bottom"/>
          </w:tcPr>
          <w:p w14:paraId="010A8668" w14:textId="77777777" w:rsidR="00C34995" w:rsidRDefault="00C34995">
            <w:pPr>
              <w:keepNext/>
              <w:keepLines/>
              <w:spacing w:before="40" w:after="40"/>
            </w:pPr>
          </w:p>
        </w:tc>
        <w:tc>
          <w:tcPr>
            <w:tcW w:w="7120" w:type="dxa"/>
            <w:tcMar>
              <w:left w:w="60" w:type="dxa"/>
              <w:right w:w="40" w:type="dxa"/>
            </w:tcMar>
            <w:vAlign w:val="bottom"/>
          </w:tcPr>
          <w:p w14:paraId="0BD30246" w14:textId="5D6014A0" w:rsidR="00C34995" w:rsidRDefault="00C34995">
            <w:pPr>
              <w:keepNext/>
              <w:keepLines/>
              <w:spacing w:before="40" w:after="40"/>
              <w:rPr>
                <w:rFonts w:ascii="Arial" w:eastAsia="Arial" w:hAnsi="Arial" w:cs="Arial"/>
              </w:rPr>
            </w:pPr>
            <w:r>
              <w:rPr>
                <w:rFonts w:ascii="Arial" w:eastAsia="Arial" w:hAnsi="Arial" w:cs="Arial"/>
              </w:rPr>
              <w:t>Cash withheld to increase cash reserves</w:t>
            </w:r>
            <w:r>
              <w:rPr>
                <w:rFonts w:ascii="Arial" w:eastAsia="Arial" w:hAnsi="Arial" w:cs="Arial"/>
                <w:vertAlign w:val="superscript"/>
              </w:rPr>
              <w:t>(</w:t>
            </w:r>
            <w:r w:rsidR="009B5533">
              <w:rPr>
                <w:rFonts w:ascii="Arial" w:eastAsia="Arial" w:hAnsi="Arial" w:cs="Arial"/>
                <w:vertAlign w:val="superscript"/>
              </w:rPr>
              <w:t>2</w:t>
            </w:r>
            <w:r>
              <w:rPr>
                <w:rFonts w:ascii="Arial" w:eastAsia="Arial" w:hAnsi="Arial" w:cs="Arial"/>
                <w:vertAlign w:val="superscript"/>
              </w:rPr>
              <w:t>)</w:t>
            </w:r>
          </w:p>
        </w:tc>
        <w:tc>
          <w:tcPr>
            <w:tcW w:w="180" w:type="dxa"/>
            <w:tcBorders>
              <w:bottom w:val="single" w:sz="8" w:space="0" w:color="auto"/>
            </w:tcBorders>
            <w:tcMar>
              <w:left w:w="60" w:type="dxa"/>
              <w:right w:w="0" w:type="dxa"/>
            </w:tcMar>
            <w:vAlign w:val="bottom"/>
          </w:tcPr>
          <w:p w14:paraId="390AFDA4" w14:textId="77777777" w:rsidR="00C34995" w:rsidRDefault="00C34995">
            <w:pPr>
              <w:keepNext/>
              <w:keepLines/>
              <w:spacing w:before="40" w:after="40"/>
            </w:pPr>
          </w:p>
        </w:tc>
        <w:tc>
          <w:tcPr>
            <w:tcW w:w="903" w:type="dxa"/>
            <w:gridSpan w:val="2"/>
            <w:tcBorders>
              <w:bottom w:val="single" w:sz="8" w:space="0" w:color="auto"/>
            </w:tcBorders>
            <w:tcMar>
              <w:left w:w="0" w:type="dxa"/>
              <w:right w:w="0" w:type="dxa"/>
            </w:tcMar>
            <w:vAlign w:val="bottom"/>
          </w:tcPr>
          <w:p w14:paraId="75B1431F" w14:textId="3F194E8F" w:rsidR="00C34995" w:rsidRDefault="005E35F8">
            <w:pPr>
              <w:keepNext/>
              <w:keepLines/>
              <w:spacing w:before="40" w:after="40"/>
              <w:jc w:val="right"/>
              <w:rPr>
                <w:rFonts w:ascii="Arial" w:eastAsia="Arial" w:hAnsi="Arial" w:cs="Arial"/>
              </w:rPr>
            </w:pPr>
            <w:r>
              <w:rPr>
                <w:rFonts w:ascii="Arial" w:eastAsia="Arial" w:hAnsi="Arial" w:cs="Arial"/>
                <w:color w:val="000000"/>
              </w:rPr>
              <w:t xml:space="preserve">  </w:t>
            </w:r>
            <w:r w:rsidR="00EF56C7">
              <w:rPr>
                <w:rFonts w:ascii="Arial" w:eastAsia="Arial" w:hAnsi="Arial" w:cs="Arial"/>
                <w:color w:val="000000"/>
              </w:rPr>
              <w:t xml:space="preserve"> </w:t>
            </w:r>
            <w:r w:rsidR="00EF56C7" w:rsidRPr="004E64CE">
              <w:rPr>
                <w:rFonts w:ascii="Arial" w:eastAsia="Arial" w:hAnsi="Arial" w:cs="Arial"/>
                <w:color w:val="000000"/>
              </w:rPr>
              <w:t>(</w:t>
            </w:r>
            <w:r w:rsidR="0058094B">
              <w:rPr>
                <w:rFonts w:ascii="Arial" w:eastAsia="Arial" w:hAnsi="Arial" w:cs="Arial"/>
                <w:color w:val="000000"/>
              </w:rPr>
              <w:t>99</w:t>
            </w:r>
            <w:r w:rsidR="00EF56C7" w:rsidRPr="004E64CE">
              <w:rPr>
                <w:rFonts w:ascii="Arial" w:eastAsia="Arial" w:hAnsi="Arial" w:cs="Arial"/>
                <w:color w:val="000000"/>
              </w:rPr>
              <w:t>)</w:t>
            </w:r>
            <w:r w:rsidR="009B5533">
              <w:rPr>
                <w:rFonts w:ascii="Arial" w:eastAsia="Arial" w:hAnsi="Arial" w:cs="Arial"/>
                <w:color w:val="000000"/>
              </w:rPr>
              <w:t xml:space="preserve"> </w:t>
            </w:r>
          </w:p>
        </w:tc>
        <w:tc>
          <w:tcPr>
            <w:tcW w:w="77" w:type="dxa"/>
            <w:tcBorders>
              <w:bottom w:val="single" w:sz="8" w:space="0" w:color="auto"/>
            </w:tcBorders>
            <w:tcMar>
              <w:left w:w="0" w:type="dxa"/>
              <w:right w:w="0" w:type="dxa"/>
            </w:tcMar>
            <w:vAlign w:val="bottom"/>
          </w:tcPr>
          <w:p w14:paraId="2C68E9CF" w14:textId="4BF4BFA5" w:rsidR="00C34995" w:rsidRDefault="00C34995">
            <w:pPr>
              <w:keepNext/>
              <w:keepLines/>
              <w:spacing w:before="40" w:after="40"/>
              <w:rPr>
                <w:rFonts w:ascii="Arial" w:eastAsia="Arial" w:hAnsi="Arial" w:cs="Arial"/>
              </w:rPr>
            </w:pPr>
          </w:p>
        </w:tc>
        <w:tc>
          <w:tcPr>
            <w:tcW w:w="300" w:type="dxa"/>
            <w:tcMar>
              <w:left w:w="60" w:type="dxa"/>
              <w:right w:w="0" w:type="dxa"/>
            </w:tcMar>
            <w:vAlign w:val="bottom"/>
          </w:tcPr>
          <w:p w14:paraId="4FDE7341" w14:textId="77777777" w:rsidR="00C34995" w:rsidRDefault="00C34995">
            <w:pPr>
              <w:keepNext/>
              <w:keepLines/>
              <w:spacing w:before="40" w:after="40"/>
            </w:pPr>
          </w:p>
        </w:tc>
      </w:tr>
      <w:tr w:rsidR="00C34995" w14:paraId="59C5D311" w14:textId="77777777" w:rsidTr="002B385B">
        <w:trPr>
          <w:trHeight w:hRule="exact" w:val="288"/>
          <w:jc w:val="center"/>
        </w:trPr>
        <w:tc>
          <w:tcPr>
            <w:tcW w:w="440" w:type="dxa"/>
            <w:tcMar>
              <w:left w:w="60" w:type="dxa"/>
              <w:right w:w="0" w:type="dxa"/>
            </w:tcMar>
            <w:vAlign w:val="bottom"/>
          </w:tcPr>
          <w:p w14:paraId="0ADEF338" w14:textId="77777777" w:rsidR="00C34995" w:rsidRDefault="00C34995">
            <w:pPr>
              <w:keepNext/>
              <w:keepLines/>
              <w:spacing w:before="40" w:after="40"/>
            </w:pPr>
          </w:p>
        </w:tc>
        <w:tc>
          <w:tcPr>
            <w:tcW w:w="7120" w:type="dxa"/>
            <w:tcMar>
              <w:left w:w="60" w:type="dxa"/>
              <w:right w:w="40" w:type="dxa"/>
            </w:tcMar>
            <w:vAlign w:val="bottom"/>
          </w:tcPr>
          <w:p w14:paraId="26257261" w14:textId="77777777" w:rsidR="00C34995" w:rsidRDefault="00C34995">
            <w:pPr>
              <w:keepNext/>
              <w:keepLines/>
              <w:spacing w:before="40" w:after="40"/>
              <w:rPr>
                <w:rFonts w:ascii="Arial" w:eastAsia="Arial" w:hAnsi="Arial" w:cs="Arial"/>
              </w:rPr>
            </w:pPr>
            <w:r>
              <w:rPr>
                <w:rFonts w:ascii="Arial" w:eastAsia="Arial" w:hAnsi="Arial" w:cs="Arial"/>
                <w:color w:val="000000"/>
              </w:rPr>
              <w:t>Distributable income available to unitholders</w:t>
            </w:r>
          </w:p>
        </w:tc>
        <w:tc>
          <w:tcPr>
            <w:tcW w:w="180" w:type="dxa"/>
            <w:tcBorders>
              <w:top w:val="single" w:sz="8" w:space="0" w:color="auto"/>
              <w:bottom w:val="double" w:sz="4" w:space="0" w:color="auto"/>
            </w:tcBorders>
            <w:tcMar>
              <w:left w:w="60" w:type="dxa"/>
              <w:right w:w="0" w:type="dxa"/>
            </w:tcMar>
            <w:vAlign w:val="bottom"/>
          </w:tcPr>
          <w:p w14:paraId="05A1AE36" w14:textId="77777777" w:rsidR="00C34995" w:rsidRDefault="00C34995">
            <w:pPr>
              <w:keepNext/>
              <w:keepLines/>
              <w:spacing w:before="40" w:after="40"/>
            </w:pPr>
          </w:p>
        </w:tc>
        <w:tc>
          <w:tcPr>
            <w:tcW w:w="122" w:type="dxa"/>
            <w:tcBorders>
              <w:top w:val="single" w:sz="8" w:space="0" w:color="auto"/>
              <w:bottom w:val="double" w:sz="4" w:space="0" w:color="auto"/>
            </w:tcBorders>
            <w:tcMar>
              <w:left w:w="0" w:type="dxa"/>
              <w:right w:w="0" w:type="dxa"/>
            </w:tcMar>
            <w:vAlign w:val="bottom"/>
          </w:tcPr>
          <w:p w14:paraId="26A4FF39" w14:textId="77777777" w:rsidR="00C34995" w:rsidRDefault="00C34995">
            <w:pPr>
              <w:keepNext/>
              <w:keepLines/>
              <w:spacing w:before="40" w:after="40"/>
              <w:rPr>
                <w:rFonts w:ascii="Arial" w:eastAsia="Arial" w:hAnsi="Arial" w:cs="Arial"/>
              </w:rPr>
            </w:pPr>
            <w:r>
              <w:rPr>
                <w:rFonts w:ascii="Arial" w:eastAsia="Arial" w:hAnsi="Arial" w:cs="Arial"/>
                <w:color w:val="000000"/>
              </w:rPr>
              <w:t>$</w:t>
            </w:r>
          </w:p>
        </w:tc>
        <w:tc>
          <w:tcPr>
            <w:tcW w:w="781" w:type="dxa"/>
            <w:tcBorders>
              <w:top w:val="single" w:sz="8" w:space="0" w:color="auto"/>
              <w:bottom w:val="double" w:sz="4" w:space="0" w:color="auto"/>
            </w:tcBorders>
            <w:tcMar>
              <w:left w:w="0" w:type="dxa"/>
              <w:right w:w="0" w:type="dxa"/>
            </w:tcMar>
            <w:vAlign w:val="bottom"/>
          </w:tcPr>
          <w:p w14:paraId="22DFEAA0" w14:textId="705BDAF2" w:rsidR="00C34995" w:rsidRPr="004E64CE" w:rsidRDefault="008C1397">
            <w:pPr>
              <w:keepNext/>
              <w:keepLines/>
              <w:spacing w:before="40" w:after="40"/>
              <w:jc w:val="right"/>
              <w:rPr>
                <w:rFonts w:ascii="Arial" w:eastAsia="Arial" w:hAnsi="Arial" w:cs="Arial"/>
              </w:rPr>
            </w:pPr>
            <w:r>
              <w:rPr>
                <w:rFonts w:ascii="Arial" w:eastAsia="Arial" w:hAnsi="Arial" w:cs="Arial"/>
                <w:color w:val="000000"/>
              </w:rPr>
              <w:t>1,573</w:t>
            </w:r>
          </w:p>
        </w:tc>
        <w:tc>
          <w:tcPr>
            <w:tcW w:w="77" w:type="dxa"/>
            <w:tcBorders>
              <w:top w:val="single" w:sz="8" w:space="0" w:color="auto"/>
              <w:bottom w:val="double" w:sz="4" w:space="0" w:color="auto"/>
            </w:tcBorders>
            <w:tcMar>
              <w:left w:w="0" w:type="dxa"/>
              <w:right w:w="0" w:type="dxa"/>
            </w:tcMar>
          </w:tcPr>
          <w:p w14:paraId="0338C974" w14:textId="77777777" w:rsidR="00C34995" w:rsidRDefault="00C34995"/>
        </w:tc>
        <w:tc>
          <w:tcPr>
            <w:tcW w:w="300" w:type="dxa"/>
            <w:tcMar>
              <w:left w:w="60" w:type="dxa"/>
              <w:right w:w="0" w:type="dxa"/>
            </w:tcMar>
            <w:vAlign w:val="bottom"/>
          </w:tcPr>
          <w:p w14:paraId="34952C00" w14:textId="77777777" w:rsidR="00C34995" w:rsidRDefault="00C34995">
            <w:pPr>
              <w:keepNext/>
              <w:keepLines/>
              <w:spacing w:before="40" w:after="40"/>
            </w:pPr>
          </w:p>
        </w:tc>
      </w:tr>
      <w:tr w:rsidR="00C34995" w14:paraId="2F01D183" w14:textId="77777777" w:rsidTr="002B385B">
        <w:trPr>
          <w:trHeight w:hRule="exact" w:val="302"/>
          <w:jc w:val="center"/>
        </w:trPr>
        <w:tc>
          <w:tcPr>
            <w:tcW w:w="440" w:type="dxa"/>
            <w:tcMar>
              <w:left w:w="60" w:type="dxa"/>
              <w:right w:w="0" w:type="dxa"/>
            </w:tcMar>
            <w:vAlign w:val="bottom"/>
          </w:tcPr>
          <w:p w14:paraId="153F2691" w14:textId="77777777" w:rsidR="00C34995" w:rsidRDefault="00C34995">
            <w:pPr>
              <w:keepLines/>
              <w:spacing w:before="40" w:after="40"/>
            </w:pPr>
          </w:p>
        </w:tc>
        <w:tc>
          <w:tcPr>
            <w:tcW w:w="7120" w:type="dxa"/>
            <w:tcMar>
              <w:left w:w="60" w:type="dxa"/>
              <w:right w:w="40" w:type="dxa"/>
            </w:tcMar>
            <w:vAlign w:val="bottom"/>
          </w:tcPr>
          <w:p w14:paraId="32B75807" w14:textId="5F87FC70" w:rsidR="00C34995" w:rsidRDefault="00C34995">
            <w:pPr>
              <w:keepLines/>
              <w:spacing w:before="30" w:after="30"/>
              <w:rPr>
                <w:rFonts w:ascii="Arial" w:eastAsia="Arial" w:hAnsi="Arial" w:cs="Arial"/>
              </w:rPr>
            </w:pPr>
            <w:r>
              <w:rPr>
                <w:rFonts w:ascii="Arial" w:eastAsia="Arial" w:hAnsi="Arial" w:cs="Arial"/>
              </w:rPr>
              <w:t>Calculated distributable income per unit</w:t>
            </w:r>
            <w:r>
              <w:rPr>
                <w:rFonts w:ascii="Arial" w:eastAsia="Arial" w:hAnsi="Arial" w:cs="Arial"/>
                <w:vertAlign w:val="superscript"/>
              </w:rPr>
              <w:t>(</w:t>
            </w:r>
            <w:r w:rsidR="006773AA">
              <w:rPr>
                <w:rFonts w:ascii="Arial" w:eastAsia="Arial" w:hAnsi="Arial" w:cs="Arial"/>
                <w:vertAlign w:val="superscript"/>
              </w:rPr>
              <w:t>3</w:t>
            </w:r>
            <w:r>
              <w:rPr>
                <w:rFonts w:ascii="Arial" w:eastAsia="Arial" w:hAnsi="Arial" w:cs="Arial"/>
                <w:vertAlign w:val="superscript"/>
              </w:rPr>
              <w:t>)</w:t>
            </w:r>
          </w:p>
        </w:tc>
        <w:tc>
          <w:tcPr>
            <w:tcW w:w="180" w:type="dxa"/>
            <w:tcBorders>
              <w:top w:val="double" w:sz="4" w:space="0" w:color="auto"/>
              <w:bottom w:val="double" w:sz="4" w:space="0" w:color="auto"/>
            </w:tcBorders>
            <w:tcMar>
              <w:left w:w="60" w:type="dxa"/>
              <w:right w:w="0" w:type="dxa"/>
            </w:tcMar>
            <w:vAlign w:val="bottom"/>
          </w:tcPr>
          <w:p w14:paraId="3EB8C5BB" w14:textId="77777777" w:rsidR="00C34995" w:rsidRDefault="00C34995">
            <w:pPr>
              <w:keepLines/>
              <w:spacing w:before="40" w:after="40"/>
            </w:pPr>
          </w:p>
        </w:tc>
        <w:tc>
          <w:tcPr>
            <w:tcW w:w="122" w:type="dxa"/>
            <w:tcBorders>
              <w:top w:val="double" w:sz="4" w:space="0" w:color="auto"/>
              <w:bottom w:val="double" w:sz="4" w:space="0" w:color="auto"/>
            </w:tcBorders>
            <w:tcMar>
              <w:left w:w="0" w:type="dxa"/>
              <w:right w:w="0" w:type="dxa"/>
            </w:tcMar>
            <w:vAlign w:val="bottom"/>
          </w:tcPr>
          <w:p w14:paraId="518671D2" w14:textId="77777777" w:rsidR="00C34995" w:rsidRDefault="00C34995">
            <w:pPr>
              <w:keepLines/>
              <w:spacing w:before="30" w:after="30"/>
              <w:rPr>
                <w:rFonts w:ascii="Arial" w:eastAsia="Arial" w:hAnsi="Arial" w:cs="Arial"/>
              </w:rPr>
            </w:pPr>
            <w:r>
              <w:rPr>
                <w:rFonts w:ascii="Arial" w:eastAsia="Arial" w:hAnsi="Arial" w:cs="Arial"/>
                <w:color w:val="000000"/>
              </w:rPr>
              <w:t>$</w:t>
            </w:r>
          </w:p>
        </w:tc>
        <w:tc>
          <w:tcPr>
            <w:tcW w:w="781" w:type="dxa"/>
            <w:tcBorders>
              <w:top w:val="double" w:sz="4" w:space="0" w:color="auto"/>
              <w:bottom w:val="double" w:sz="4" w:space="0" w:color="auto"/>
            </w:tcBorders>
            <w:tcMar>
              <w:left w:w="0" w:type="dxa"/>
              <w:right w:w="0" w:type="dxa"/>
            </w:tcMar>
            <w:vAlign w:val="bottom"/>
          </w:tcPr>
          <w:p w14:paraId="2DC96BCB" w14:textId="71F35C6B" w:rsidR="00C34995" w:rsidRPr="004E64CE" w:rsidRDefault="00C34995">
            <w:pPr>
              <w:keepLines/>
              <w:spacing w:before="30" w:after="30"/>
              <w:jc w:val="right"/>
              <w:rPr>
                <w:rFonts w:ascii="Arial" w:eastAsia="Arial" w:hAnsi="Arial" w:cs="Arial"/>
              </w:rPr>
            </w:pPr>
            <w:r w:rsidRPr="004E64CE">
              <w:rPr>
                <w:rFonts w:ascii="Arial" w:eastAsia="Arial" w:hAnsi="Arial" w:cs="Arial"/>
                <w:color w:val="000000"/>
              </w:rPr>
              <w:t>0.</w:t>
            </w:r>
            <w:r w:rsidR="008C1397">
              <w:rPr>
                <w:rFonts w:ascii="Arial" w:eastAsia="Arial" w:hAnsi="Arial" w:cs="Arial"/>
                <w:color w:val="000000"/>
              </w:rPr>
              <w:t>0336</w:t>
            </w:r>
          </w:p>
        </w:tc>
        <w:tc>
          <w:tcPr>
            <w:tcW w:w="77" w:type="dxa"/>
            <w:tcBorders>
              <w:top w:val="double" w:sz="4" w:space="0" w:color="auto"/>
              <w:bottom w:val="double" w:sz="4" w:space="0" w:color="auto"/>
            </w:tcBorders>
            <w:tcMar>
              <w:left w:w="0" w:type="dxa"/>
              <w:right w:w="0" w:type="dxa"/>
            </w:tcMar>
          </w:tcPr>
          <w:p w14:paraId="233910CE" w14:textId="77777777" w:rsidR="00C34995" w:rsidRDefault="00C34995"/>
        </w:tc>
        <w:tc>
          <w:tcPr>
            <w:tcW w:w="300" w:type="dxa"/>
            <w:tcMar>
              <w:left w:w="60" w:type="dxa"/>
              <w:right w:w="0" w:type="dxa"/>
            </w:tcMar>
            <w:vAlign w:val="bottom"/>
          </w:tcPr>
          <w:p w14:paraId="5F46824E" w14:textId="77777777" w:rsidR="00C34995" w:rsidRDefault="00C34995">
            <w:pPr>
              <w:keepLines/>
              <w:spacing w:before="40" w:after="40"/>
            </w:pPr>
          </w:p>
        </w:tc>
      </w:tr>
    </w:tbl>
    <w:p w14:paraId="3154020D" w14:textId="77777777" w:rsidR="00AB4FF3" w:rsidRDefault="00AB4FF3">
      <w:pPr>
        <w:spacing w:line="180" w:lineRule="exact"/>
      </w:pPr>
    </w:p>
    <w:tbl>
      <w:tblPr>
        <w:tblW w:w="9210" w:type="dxa"/>
        <w:jc w:val="center"/>
        <w:tblLayout w:type="fixed"/>
        <w:tblCellMar>
          <w:left w:w="10" w:type="dxa"/>
          <w:right w:w="10" w:type="dxa"/>
        </w:tblCellMar>
        <w:tblLook w:val="04A0" w:firstRow="1" w:lastRow="0" w:firstColumn="1" w:lastColumn="0" w:noHBand="0" w:noVBand="1"/>
      </w:tblPr>
      <w:tblGrid>
        <w:gridCol w:w="9210"/>
      </w:tblGrid>
      <w:tr w:rsidR="00C34995" w14:paraId="783167D1" w14:textId="77777777" w:rsidTr="00BC5E29">
        <w:trPr>
          <w:trHeight w:hRule="exact" w:val="283"/>
          <w:jc w:val="center"/>
        </w:trPr>
        <w:tc>
          <w:tcPr>
            <w:tcW w:w="9210" w:type="dxa"/>
            <w:tcMar>
              <w:left w:w="60" w:type="dxa"/>
              <w:right w:w="60" w:type="dxa"/>
            </w:tcMar>
          </w:tcPr>
          <w:p w14:paraId="1ACE5220" w14:textId="77777777" w:rsidR="00C34995" w:rsidRDefault="00C34995">
            <w:pPr>
              <w:keepNext/>
              <w:keepLines/>
              <w:spacing w:before="40" w:after="40"/>
              <w:ind w:left="270" w:hanging="270"/>
              <w:jc w:val="both"/>
              <w:rPr>
                <w:rFonts w:ascii="Arial" w:eastAsia="Arial" w:hAnsi="Arial" w:cs="Arial"/>
                <w:i/>
                <w:sz w:val="16"/>
              </w:rPr>
            </w:pPr>
            <w:r>
              <w:rPr>
                <w:rFonts w:ascii="Arial" w:eastAsia="Arial" w:hAnsi="Arial" w:cs="Arial"/>
                <w:i/>
                <w:color w:val="000000"/>
                <w:sz w:val="16"/>
              </w:rPr>
              <w:t>(1)  Includes the effect of certain marketing, gathering and transportation deductions.</w:t>
            </w:r>
          </w:p>
        </w:tc>
      </w:tr>
      <w:tr w:rsidR="00C34995" w14:paraId="52D36036" w14:textId="77777777" w:rsidTr="00BC5E29">
        <w:trPr>
          <w:trHeight w:hRule="exact" w:val="1692"/>
          <w:jc w:val="center"/>
        </w:trPr>
        <w:tc>
          <w:tcPr>
            <w:tcW w:w="9210" w:type="dxa"/>
            <w:tcMar>
              <w:left w:w="60" w:type="dxa"/>
              <w:right w:w="60" w:type="dxa"/>
            </w:tcMar>
          </w:tcPr>
          <w:p w14:paraId="70E66C3D" w14:textId="4A3BD44F" w:rsidR="00C34995" w:rsidRDefault="00C34995">
            <w:pPr>
              <w:keepNext/>
              <w:keepLines/>
              <w:spacing w:before="40" w:after="40"/>
              <w:ind w:left="270" w:hanging="270"/>
              <w:jc w:val="both"/>
              <w:rPr>
                <w:rFonts w:ascii="Arial" w:eastAsia="Arial" w:hAnsi="Arial" w:cs="Arial"/>
                <w:i/>
                <w:sz w:val="16"/>
              </w:rPr>
            </w:pPr>
            <w:bookmarkStart w:id="1" w:name="_Hlk94621393"/>
            <w:r>
              <w:rPr>
                <w:rFonts w:ascii="Arial" w:eastAsia="Arial" w:hAnsi="Arial" w:cs="Arial"/>
                <w:i/>
                <w:color w:val="000000"/>
                <w:sz w:val="16"/>
              </w:rPr>
              <w:t>(</w:t>
            </w:r>
            <w:r w:rsidR="009B5533">
              <w:rPr>
                <w:rFonts w:ascii="Arial" w:eastAsia="Arial" w:hAnsi="Arial" w:cs="Arial"/>
                <w:i/>
                <w:color w:val="000000"/>
                <w:sz w:val="16"/>
              </w:rPr>
              <w:t>2</w:t>
            </w:r>
            <w:r>
              <w:rPr>
                <w:rFonts w:ascii="Arial" w:eastAsia="Arial" w:hAnsi="Arial" w:cs="Arial"/>
                <w:i/>
                <w:color w:val="000000"/>
                <w:sz w:val="16"/>
              </w:rPr>
              <w:t>)  </w:t>
            </w:r>
            <w:r w:rsidR="00C4046E" w:rsidRPr="00C4046E">
              <w:rPr>
                <w:rFonts w:ascii="Arial" w:eastAsia="Arial" w:hAnsi="Arial" w:cs="Arial"/>
                <w:i/>
                <w:color w:val="000000"/>
                <w:sz w:val="16"/>
              </w:rPr>
              <w:t xml:space="preserve">The Trustee may increase or decrease the targeted amount of the cash reserve at any time, and may increase or decrease the rate at which it is withholding funds to build the cash reserve at any time, without advance notice to the unitholders. Without limiting the foregoing, the Trustee reviewed the adequacy and sufficiency of the existing cash reserve in 2021 and determined to withhold funds otherwise available for distribution to unitholders each quarter to increase existing cash reserves by a total of approximately $3,200,000 over a period of several quarters, commencing with the distribution to unitholders for the fourth quarter 2021 (payable in 2022). As of </w:t>
            </w:r>
            <w:r w:rsidR="004C5284">
              <w:rPr>
                <w:rFonts w:ascii="Arial" w:eastAsia="Arial" w:hAnsi="Arial" w:cs="Arial"/>
                <w:i/>
                <w:color w:val="000000"/>
                <w:sz w:val="16"/>
              </w:rPr>
              <w:t>September</w:t>
            </w:r>
            <w:r w:rsidR="00A930B8">
              <w:rPr>
                <w:rFonts w:ascii="Arial" w:eastAsia="Arial" w:hAnsi="Arial" w:cs="Arial"/>
                <w:i/>
                <w:color w:val="000000"/>
                <w:sz w:val="16"/>
              </w:rPr>
              <w:t xml:space="preserve"> 30</w:t>
            </w:r>
            <w:r w:rsidR="00C4046E" w:rsidRPr="00C4046E">
              <w:rPr>
                <w:rFonts w:ascii="Arial" w:eastAsia="Arial" w:hAnsi="Arial" w:cs="Arial"/>
                <w:i/>
                <w:color w:val="000000"/>
                <w:sz w:val="16"/>
              </w:rPr>
              <w:t>, 2023 $1,</w:t>
            </w:r>
            <w:r w:rsidR="009013BE">
              <w:rPr>
                <w:rFonts w:ascii="Arial" w:eastAsia="Arial" w:hAnsi="Arial" w:cs="Arial"/>
                <w:i/>
                <w:color w:val="000000"/>
                <w:sz w:val="16"/>
              </w:rPr>
              <w:t>562</w:t>
            </w:r>
            <w:r w:rsidR="00C4046E" w:rsidRPr="00C4046E">
              <w:rPr>
                <w:rFonts w:ascii="Arial" w:eastAsia="Arial" w:hAnsi="Arial" w:cs="Arial"/>
                <w:i/>
                <w:color w:val="000000"/>
                <w:sz w:val="16"/>
              </w:rPr>
              <w:t>,</w:t>
            </w:r>
            <w:r w:rsidR="009013BE">
              <w:rPr>
                <w:rFonts w:ascii="Arial" w:eastAsia="Arial" w:hAnsi="Arial" w:cs="Arial"/>
                <w:i/>
                <w:color w:val="000000"/>
                <w:sz w:val="16"/>
              </w:rPr>
              <w:t>07</w:t>
            </w:r>
            <w:r w:rsidR="00C4046E" w:rsidRPr="00C4046E">
              <w:rPr>
                <w:rFonts w:ascii="Arial" w:eastAsia="Arial" w:hAnsi="Arial" w:cs="Arial"/>
                <w:i/>
                <w:color w:val="000000"/>
                <w:sz w:val="16"/>
              </w:rPr>
              <w:t xml:space="preserve">8 has been so withheld to increase cash reserves. Cash held in reserve will be invested as required by the Trust Agreement. Any cash reserved </w:t>
            </w:r>
            <w:proofErr w:type="gramStart"/>
            <w:r w:rsidR="00C4046E" w:rsidRPr="00C4046E">
              <w:rPr>
                <w:rFonts w:ascii="Arial" w:eastAsia="Arial" w:hAnsi="Arial" w:cs="Arial"/>
                <w:i/>
                <w:color w:val="000000"/>
                <w:sz w:val="16"/>
              </w:rPr>
              <w:t>in excess of</w:t>
            </w:r>
            <w:proofErr w:type="gramEnd"/>
            <w:r w:rsidR="00C4046E" w:rsidRPr="00C4046E">
              <w:rPr>
                <w:rFonts w:ascii="Arial" w:eastAsia="Arial" w:hAnsi="Arial" w:cs="Arial"/>
                <w:i/>
                <w:color w:val="000000"/>
                <w:sz w:val="16"/>
              </w:rPr>
              <w:t xml:space="preserve"> the amount necessary to pay or provide for the payment of future known, anticipated or contingent expenses or liabilities eventually will be distributed to unitholders, together with interest earned on the funds.</w:t>
            </w:r>
          </w:p>
        </w:tc>
      </w:tr>
      <w:bookmarkEnd w:id="1"/>
      <w:tr w:rsidR="00C34995" w14:paraId="45C8EAFC" w14:textId="77777777" w:rsidTr="00BC5E29">
        <w:trPr>
          <w:trHeight w:hRule="exact" w:val="283"/>
          <w:jc w:val="center"/>
        </w:trPr>
        <w:tc>
          <w:tcPr>
            <w:tcW w:w="9210" w:type="dxa"/>
            <w:tcMar>
              <w:left w:w="60" w:type="dxa"/>
              <w:right w:w="60" w:type="dxa"/>
            </w:tcMar>
          </w:tcPr>
          <w:p w14:paraId="121EE1CB" w14:textId="474B90FF" w:rsidR="00C34995" w:rsidRDefault="00C34995">
            <w:pPr>
              <w:keepLines/>
              <w:spacing w:before="40" w:after="40"/>
              <w:ind w:left="270" w:hanging="270"/>
              <w:jc w:val="both"/>
              <w:rPr>
                <w:rFonts w:ascii="Arial" w:eastAsia="Arial" w:hAnsi="Arial" w:cs="Arial"/>
                <w:i/>
                <w:sz w:val="16"/>
              </w:rPr>
            </w:pPr>
            <w:r>
              <w:rPr>
                <w:rFonts w:ascii="Arial" w:eastAsia="Arial" w:hAnsi="Arial" w:cs="Arial"/>
                <w:i/>
                <w:color w:val="000000"/>
                <w:sz w:val="16"/>
              </w:rPr>
              <w:t>(</w:t>
            </w:r>
            <w:r w:rsidR="006773AA">
              <w:rPr>
                <w:rFonts w:ascii="Arial" w:eastAsia="Arial" w:hAnsi="Arial" w:cs="Arial"/>
                <w:i/>
                <w:color w:val="000000"/>
                <w:sz w:val="16"/>
              </w:rPr>
              <w:t>3</w:t>
            </w:r>
            <w:r>
              <w:rPr>
                <w:rFonts w:ascii="Arial" w:eastAsia="Arial" w:hAnsi="Arial" w:cs="Arial"/>
                <w:i/>
                <w:color w:val="000000"/>
                <w:sz w:val="16"/>
              </w:rPr>
              <w:t>)  Based on 46,750,000 common units issued and outstanding.</w:t>
            </w:r>
          </w:p>
        </w:tc>
      </w:tr>
    </w:tbl>
    <w:p w14:paraId="7F50C3EC" w14:textId="39066AF7" w:rsidR="00C34995" w:rsidRDefault="00C34995">
      <w:pPr>
        <w:spacing w:after="180" w:line="288" w:lineRule="auto"/>
        <w:jc w:val="both"/>
        <w:rPr>
          <w:rFonts w:ascii="Arial" w:eastAsia="Arial" w:hAnsi="Arial" w:cs="Arial"/>
          <w:sz w:val="22"/>
        </w:rPr>
      </w:pPr>
    </w:p>
    <w:p w14:paraId="2933C3B3" w14:textId="57DAC8A8" w:rsidR="00AB4FF3" w:rsidRDefault="003A42C2">
      <w:pPr>
        <w:spacing w:after="180" w:line="288" w:lineRule="auto"/>
        <w:jc w:val="both"/>
        <w:rPr>
          <w:rFonts w:ascii="Arial" w:eastAsia="Arial" w:hAnsi="Arial" w:cs="Arial"/>
          <w:sz w:val="22"/>
        </w:rPr>
      </w:pPr>
      <w:r>
        <w:rPr>
          <w:rFonts w:ascii="Arial" w:eastAsia="Arial" w:hAnsi="Arial" w:cs="Arial"/>
          <w:sz w:val="22"/>
        </w:rPr>
        <w:lastRenderedPageBreak/>
        <w:t>Due to the timing of the payment of production proceeds to the Trust, quarterly distributions generally include royalties attributable to sales of oil, natural gas liquids and natural gas for three months, including the first two months of the quarter just ended and the last month of the prior quarter.</w:t>
      </w:r>
    </w:p>
    <w:p w14:paraId="41E77854" w14:textId="3F277BA3" w:rsidR="00AB4FF3" w:rsidRDefault="003A42C2">
      <w:pPr>
        <w:spacing w:after="180" w:line="288" w:lineRule="auto"/>
        <w:jc w:val="both"/>
        <w:rPr>
          <w:rFonts w:ascii="Arial" w:eastAsia="Arial" w:hAnsi="Arial" w:cs="Arial"/>
          <w:sz w:val="22"/>
        </w:rPr>
      </w:pPr>
      <w:r>
        <w:rPr>
          <w:rFonts w:ascii="Arial" w:eastAsia="Arial" w:hAnsi="Arial" w:cs="Arial"/>
          <w:sz w:val="22"/>
        </w:rPr>
        <w:t>The Trust owns royalty interests in certain oil and natural gas properties in the Colony Granite Wash play in Washita County, Oklahoma. The Trust is entitled to receive proceeds from the sale of production attributable to the royalty interests. As described in the Trust’s filings with the Securities and Exchange Commission (the “SEC”), the amount of Trust revenues and the quarterly distributions to Trust unitholders will fluctuate from quarter to quarter, depending on the sales volume of oil, natural gas liquids and natural gas attributable to the Trust’s royalty interests and the prices received for such sales and the amount of the Trust’s administrative expenses, among other factors.</w:t>
      </w:r>
    </w:p>
    <w:p w14:paraId="6800013C" w14:textId="77777777" w:rsidR="00AB4FF3" w:rsidRDefault="003A42C2">
      <w:pPr>
        <w:spacing w:after="180" w:line="288" w:lineRule="auto"/>
        <w:jc w:val="both"/>
        <w:rPr>
          <w:rFonts w:ascii="Arial" w:eastAsia="Arial" w:hAnsi="Arial" w:cs="Arial"/>
          <w:sz w:val="22"/>
        </w:rPr>
      </w:pPr>
      <w:r>
        <w:rPr>
          <w:rFonts w:ascii="Arial" w:eastAsia="Arial" w:hAnsi="Arial" w:cs="Arial"/>
          <w:sz w:val="22"/>
        </w:rPr>
        <w:t>For additional information regarding the Trust and its results of operations and financial condition, please refer to the Trust’s SEC filings.</w:t>
      </w:r>
    </w:p>
    <w:p w14:paraId="633C4904" w14:textId="68BEED96" w:rsidR="00AB4FF3" w:rsidRDefault="007D5B1F">
      <w:pPr>
        <w:spacing w:after="120" w:line="288" w:lineRule="auto"/>
        <w:jc w:val="both"/>
        <w:rPr>
          <w:rFonts w:ascii="Arial" w:eastAsia="Arial" w:hAnsi="Arial" w:cs="Arial"/>
          <w:b/>
          <w:i/>
          <w:sz w:val="16"/>
        </w:rPr>
      </w:pPr>
      <w:r>
        <w:rPr>
          <w:rFonts w:ascii="Arial" w:eastAsia="Arial" w:hAnsi="Arial" w:cs="Arial"/>
          <w:b/>
          <w:i/>
          <w:sz w:val="16"/>
        </w:rPr>
        <w:t>ABOUT CHESAPEAKE GRANITE WASH TRUST:</w:t>
      </w:r>
    </w:p>
    <w:p w14:paraId="5263BA1D" w14:textId="77777777" w:rsidR="00AB4FF3" w:rsidRDefault="003A42C2">
      <w:pPr>
        <w:spacing w:after="120" w:line="288" w:lineRule="auto"/>
        <w:jc w:val="both"/>
        <w:rPr>
          <w:rFonts w:ascii="Arial" w:eastAsia="Arial" w:hAnsi="Arial" w:cs="Arial"/>
          <w:b/>
          <w:i/>
          <w:sz w:val="16"/>
        </w:rPr>
      </w:pPr>
      <w:r>
        <w:rPr>
          <w:rFonts w:ascii="Arial" w:eastAsia="Arial" w:hAnsi="Arial" w:cs="Arial"/>
          <w:b/>
          <w:i/>
          <w:sz w:val="16"/>
        </w:rPr>
        <w:t>Pursuant to IRC Section 1446, withholding tax on income effectively connected to a U.S. trade or business allocated to foreign partners should be made at the highest marginal rate. Under Section 1441, withholding tax on fixed, determinable, annual, periodic income from U.S. sources allocated to foreign partners should be made at 30% of gross income unless the rate is reduced by treaty. This release is intended to be a qualified notice to nominees and brokers as provided for under Treasury Regulation Section 1.1446-4(b) by the Trust, and while specific relief is not specified for Section 1441 income, this disclosure is intended to suffice. For distributions made to foreign partners, nominees and brokers should withhold at the highest effective tax rate.</w:t>
      </w:r>
    </w:p>
    <w:p w14:paraId="7999C008" w14:textId="05DBAAE5" w:rsidR="007D5B1F" w:rsidRDefault="007D5B1F" w:rsidP="007D5B1F">
      <w:pPr>
        <w:spacing w:line="288" w:lineRule="auto"/>
        <w:jc w:val="both"/>
        <w:rPr>
          <w:rFonts w:ascii="Arial" w:eastAsia="Arial" w:hAnsi="Arial" w:cs="Arial"/>
          <w:b/>
          <w:i/>
          <w:sz w:val="16"/>
        </w:rPr>
      </w:pPr>
      <w:r>
        <w:rPr>
          <w:rFonts w:ascii="Arial" w:eastAsia="Arial" w:hAnsi="Arial" w:cs="Arial"/>
          <w:b/>
          <w:i/>
          <w:sz w:val="16"/>
        </w:rPr>
        <w:t xml:space="preserve">This news release contains statements that are “forward-looking statements” within the meaning of Section 27A of the Securities Act of 1933, as amended, and Section 21E of the Securities Exchange Act of 1934, as amended. All statements contained in this news release, other than statements of historical facts, are “forward-looking statements” for purposes of these provisions. The anticipated distribution discussed herein is based, in part, on the amount of cash received or expected to be received by the Trust with respect to the relevant quarterly period. Any differences in actual cash receipts by the Trust could affect this distributable amount. Other important factors that could cause actual results to differ materially include the COVID-19 pandemic and related economic turmoil, expenses of the Trust and reserves for anticipated future expenses. The Trustee neither intends and neither assumes any </w:t>
      </w:r>
      <w:proofErr w:type="gramStart"/>
      <w:r>
        <w:rPr>
          <w:rFonts w:ascii="Arial" w:eastAsia="Arial" w:hAnsi="Arial" w:cs="Arial"/>
          <w:b/>
          <w:i/>
          <w:sz w:val="16"/>
        </w:rPr>
        <w:t>obligation,</w:t>
      </w:r>
      <w:proofErr w:type="gramEnd"/>
      <w:r>
        <w:rPr>
          <w:rFonts w:ascii="Arial" w:eastAsia="Arial" w:hAnsi="Arial" w:cs="Arial"/>
          <w:b/>
          <w:i/>
          <w:sz w:val="16"/>
        </w:rPr>
        <w:t xml:space="preserve"> to update any of the statements included in this news release. An investment in common units issued by the Trust is subject to the risks described in the Trust’s Annual Report on Form 10-K for the year ended December 31, 202</w:t>
      </w:r>
      <w:r w:rsidR="006A70B4">
        <w:rPr>
          <w:rFonts w:ascii="Arial" w:eastAsia="Arial" w:hAnsi="Arial" w:cs="Arial"/>
          <w:b/>
          <w:i/>
          <w:sz w:val="16"/>
        </w:rPr>
        <w:t>2</w:t>
      </w:r>
      <w:r>
        <w:rPr>
          <w:rFonts w:ascii="Arial" w:eastAsia="Arial" w:hAnsi="Arial" w:cs="Arial"/>
          <w:b/>
          <w:i/>
          <w:sz w:val="16"/>
        </w:rPr>
        <w:t>, as well as other risks identified in the Trust’s Quarterly Reports on Form 10-Q and Current Reports on Form 8-K filed with the SEC. The Trust’s annual, quarterly and other filed reports are or will be available at the SEC’s website at www.sec.gov. The Trust does not intend, and assumes no obligations, to update any of the statements included in this news release.</w:t>
      </w:r>
      <w:r w:rsidR="00EC1496">
        <w:rPr>
          <w:rFonts w:ascii="Arial" w:eastAsia="Arial" w:hAnsi="Arial" w:cs="Arial"/>
          <w:b/>
          <w:i/>
          <w:sz w:val="16"/>
        </w:rPr>
        <w:t xml:space="preserve"> Further information is available at www.chkgranitewashtrust.com where the Trust routinely posts announcements, updates, investor information and news releases.</w:t>
      </w:r>
    </w:p>
    <w:p w14:paraId="56E7D1EF" w14:textId="6B215A80" w:rsidR="00AB4FF3" w:rsidRDefault="00AB4FF3" w:rsidP="007D5B1F">
      <w:pPr>
        <w:spacing w:line="288" w:lineRule="auto"/>
        <w:jc w:val="both"/>
        <w:rPr>
          <w:rFonts w:ascii="Arial" w:eastAsia="Arial" w:hAnsi="Arial" w:cs="Arial"/>
          <w:b/>
          <w:i/>
          <w:sz w:val="16"/>
        </w:rPr>
      </w:pPr>
    </w:p>
    <w:sectPr w:rsidR="00AB4FF3">
      <w:headerReference w:type="even" r:id="rId10"/>
      <w:headerReference w:type="default" r:id="rId11"/>
      <w:footerReference w:type="even" r:id="rId12"/>
      <w:footerReference w:type="default" r:id="rId13"/>
      <w:headerReference w:type="first" r:id="rId14"/>
      <w:footerReference w:type="first" r:id="rId15"/>
      <w:pgSz w:w="12240" w:h="15840"/>
      <w:pgMar w:top="1800" w:right="1080" w:bottom="1800" w:left="1080" w:header="160" w:footer="300" w:gutter="0"/>
      <w:pgNumType w:chapSep="period"/>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A8F6F" w14:textId="77777777" w:rsidR="00532CB8" w:rsidRDefault="00532CB8">
      <w:r>
        <w:separator/>
      </w:r>
    </w:p>
  </w:endnote>
  <w:endnote w:type="continuationSeparator" w:id="0">
    <w:p w14:paraId="4C800446" w14:textId="77777777" w:rsidR="00532CB8" w:rsidRDefault="00532CB8">
      <w:r>
        <w:continuationSeparator/>
      </w:r>
    </w:p>
  </w:endnote>
  <w:endnote w:type="continuationNotice" w:id="1">
    <w:p w14:paraId="79CA7E09" w14:textId="77777777" w:rsidR="00532CB8" w:rsidRDefault="00532C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F13A7" w14:textId="77777777" w:rsidR="00E07FA0" w:rsidRDefault="003A42C2">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1BCDF" w14:textId="77777777" w:rsidR="00E07FA0" w:rsidRDefault="003A42C2">
    <w:r>
      <w:c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80" w:type="dxa"/>
      <w:jc w:val="center"/>
      <w:tblLayout w:type="fixed"/>
      <w:tblCellMar>
        <w:left w:w="10" w:type="dxa"/>
        <w:right w:w="10" w:type="dxa"/>
      </w:tblCellMar>
      <w:tblLook w:val="04A0" w:firstRow="1" w:lastRow="0" w:firstColumn="1" w:lastColumn="0" w:noHBand="0" w:noVBand="1"/>
    </w:tblPr>
    <w:tblGrid>
      <w:gridCol w:w="4460"/>
      <w:gridCol w:w="560"/>
      <w:gridCol w:w="2960"/>
      <w:gridCol w:w="2200"/>
    </w:tblGrid>
    <w:tr w:rsidR="003A42C2" w14:paraId="1DA6DC5A" w14:textId="77777777" w:rsidTr="003A42C2">
      <w:trPr>
        <w:trHeight w:hRule="exact" w:val="120"/>
        <w:jc w:val="center"/>
      </w:trPr>
      <w:tc>
        <w:tcPr>
          <w:tcW w:w="5020" w:type="dxa"/>
          <w:gridSpan w:val="2"/>
          <w:tcBorders>
            <w:top w:val="single" w:sz="24" w:space="0" w:color="72BF44"/>
          </w:tcBorders>
          <w:tcMar>
            <w:left w:w="60" w:type="dxa"/>
            <w:right w:w="0" w:type="dxa"/>
          </w:tcMar>
          <w:vAlign w:val="bottom"/>
        </w:tcPr>
        <w:p w14:paraId="7BE7A234" w14:textId="77777777" w:rsidR="00AB4FF3" w:rsidRDefault="00AB4FF3">
          <w:pPr>
            <w:keepNext/>
            <w:keepLines/>
            <w:spacing w:before="40" w:after="40"/>
          </w:pPr>
        </w:p>
      </w:tc>
      <w:tc>
        <w:tcPr>
          <w:tcW w:w="2960" w:type="dxa"/>
          <w:tcBorders>
            <w:top w:val="single" w:sz="24" w:space="0" w:color="72BF44"/>
          </w:tcBorders>
          <w:tcMar>
            <w:left w:w="60" w:type="dxa"/>
            <w:right w:w="0" w:type="dxa"/>
          </w:tcMar>
          <w:vAlign w:val="bottom"/>
        </w:tcPr>
        <w:p w14:paraId="320D11E6" w14:textId="77777777" w:rsidR="00AB4FF3" w:rsidRDefault="00AB4FF3">
          <w:pPr>
            <w:keepNext/>
            <w:keepLines/>
            <w:spacing w:before="40" w:after="40"/>
          </w:pPr>
        </w:p>
      </w:tc>
      <w:tc>
        <w:tcPr>
          <w:tcW w:w="2200" w:type="dxa"/>
          <w:tcBorders>
            <w:top w:val="single" w:sz="24" w:space="0" w:color="72BF44"/>
          </w:tcBorders>
          <w:tcMar>
            <w:left w:w="60" w:type="dxa"/>
            <w:right w:w="0" w:type="dxa"/>
          </w:tcMar>
          <w:vAlign w:val="bottom"/>
        </w:tcPr>
        <w:p w14:paraId="3A746080" w14:textId="77777777" w:rsidR="00AB4FF3" w:rsidRDefault="00AB4FF3">
          <w:pPr>
            <w:keepNext/>
            <w:keepLines/>
            <w:spacing w:before="40" w:after="40"/>
          </w:pPr>
        </w:p>
      </w:tc>
    </w:tr>
    <w:tr w:rsidR="003A42C2" w14:paraId="25B92085" w14:textId="77777777" w:rsidTr="003A42C2">
      <w:trPr>
        <w:trHeight w:hRule="exact" w:val="240"/>
        <w:jc w:val="center"/>
      </w:trPr>
      <w:tc>
        <w:tcPr>
          <w:tcW w:w="5020" w:type="dxa"/>
          <w:gridSpan w:val="2"/>
          <w:tcBorders>
            <w:right w:val="dotted" w:sz="16" w:space="0" w:color="72BF44"/>
          </w:tcBorders>
          <w:tcMar>
            <w:left w:w="60" w:type="dxa"/>
            <w:right w:w="40" w:type="dxa"/>
          </w:tcMar>
          <w:vAlign w:val="bottom"/>
        </w:tcPr>
        <w:p w14:paraId="256037F9" w14:textId="77777777" w:rsidR="00AB4FF3" w:rsidRDefault="003A42C2">
          <w:pPr>
            <w:keepNext/>
            <w:keepLines/>
            <w:spacing w:before="40" w:after="40"/>
            <w:rPr>
              <w:rFonts w:ascii="Arial" w:eastAsia="Arial" w:hAnsi="Arial" w:cs="Arial"/>
              <w:b/>
              <w:sz w:val="16"/>
            </w:rPr>
          </w:pPr>
          <w:r>
            <w:rPr>
              <w:rFonts w:ascii="Arial" w:eastAsia="Arial" w:hAnsi="Arial" w:cs="Arial"/>
              <w:b/>
              <w:color w:val="0066B3"/>
              <w:sz w:val="16"/>
            </w:rPr>
            <w:t>TRUSTEE CONTACT INFORMATION:</w:t>
          </w:r>
        </w:p>
      </w:tc>
      <w:tc>
        <w:tcPr>
          <w:tcW w:w="5160" w:type="dxa"/>
          <w:gridSpan w:val="2"/>
          <w:tcMar>
            <w:left w:w="60" w:type="dxa"/>
            <w:right w:w="40" w:type="dxa"/>
          </w:tcMar>
          <w:vAlign w:val="bottom"/>
        </w:tcPr>
        <w:p w14:paraId="53F69CDB" w14:textId="77777777" w:rsidR="00AB4FF3" w:rsidRDefault="003A42C2">
          <w:pPr>
            <w:keepNext/>
            <w:keepLines/>
            <w:spacing w:before="40" w:after="40"/>
            <w:rPr>
              <w:rFonts w:ascii="Arial" w:eastAsia="Arial" w:hAnsi="Arial" w:cs="Arial"/>
              <w:b/>
              <w:sz w:val="16"/>
            </w:rPr>
          </w:pPr>
          <w:r>
            <w:rPr>
              <w:rFonts w:ascii="Arial" w:eastAsia="Arial" w:hAnsi="Arial" w:cs="Arial"/>
              <w:b/>
              <w:color w:val="0066B3"/>
              <w:sz w:val="16"/>
            </w:rPr>
            <w:t>CHESAPEAKE GRANITE WASH TRUST</w:t>
          </w:r>
        </w:p>
      </w:tc>
    </w:tr>
    <w:tr w:rsidR="003A42C2" w14:paraId="65A2998E" w14:textId="77777777" w:rsidTr="00107C39">
      <w:trPr>
        <w:trHeight w:hRule="exact" w:val="813"/>
        <w:jc w:val="center"/>
      </w:trPr>
      <w:tc>
        <w:tcPr>
          <w:tcW w:w="4460" w:type="dxa"/>
          <w:tcMar>
            <w:left w:w="60" w:type="dxa"/>
            <w:right w:w="60" w:type="dxa"/>
          </w:tcMar>
        </w:tcPr>
        <w:p w14:paraId="4A215007" w14:textId="77777777" w:rsidR="00AB4FF3" w:rsidRDefault="003A42C2">
          <w:pPr>
            <w:keepLines/>
            <w:spacing w:before="40" w:line="288" w:lineRule="auto"/>
            <w:jc w:val="both"/>
            <w:rPr>
              <w:rFonts w:ascii="Arial" w:eastAsia="Arial" w:hAnsi="Arial" w:cs="Arial"/>
              <w:sz w:val="14"/>
            </w:rPr>
          </w:pPr>
          <w:r>
            <w:rPr>
              <w:rFonts w:ascii="Arial" w:eastAsia="Arial" w:hAnsi="Arial" w:cs="Arial"/>
              <w:color w:val="0066B3"/>
              <w:sz w:val="14"/>
            </w:rPr>
            <w:t>The Bank of New York Mellon Trust Company, N.A.</w:t>
          </w:r>
        </w:p>
        <w:p w14:paraId="5B57ECC5" w14:textId="534BE629" w:rsidR="00CB23C9" w:rsidRPr="00504B94" w:rsidRDefault="00CB23C9">
          <w:pPr>
            <w:keepLines/>
            <w:spacing w:line="288" w:lineRule="auto"/>
            <w:jc w:val="both"/>
            <w:rPr>
              <w:rFonts w:ascii="Arial" w:eastAsia="Arial" w:hAnsi="Arial" w:cs="Arial"/>
              <w:color w:val="0066B3"/>
              <w:sz w:val="14"/>
              <w:lang w:val="fr-FR"/>
            </w:rPr>
          </w:pPr>
          <w:r w:rsidRPr="00504B94">
            <w:rPr>
              <w:rFonts w:ascii="Arial" w:eastAsia="Arial" w:hAnsi="Arial" w:cs="Arial"/>
              <w:color w:val="0066B3"/>
              <w:sz w:val="14"/>
              <w:lang w:val="fr-FR"/>
            </w:rPr>
            <w:t xml:space="preserve">Sarah </w:t>
          </w:r>
          <w:r w:rsidR="006D7456" w:rsidRPr="00504B94">
            <w:rPr>
              <w:rFonts w:ascii="Arial" w:eastAsia="Arial" w:hAnsi="Arial" w:cs="Arial"/>
              <w:color w:val="0066B3"/>
              <w:sz w:val="14"/>
              <w:lang w:val="fr-FR"/>
            </w:rPr>
            <w:t>Newell</w:t>
          </w:r>
        </w:p>
        <w:p w14:paraId="7D3BAB7C" w14:textId="41320018" w:rsidR="00AB4FF3" w:rsidRPr="00504B94" w:rsidRDefault="00065D56">
          <w:pPr>
            <w:keepLines/>
            <w:spacing w:line="288" w:lineRule="auto"/>
            <w:jc w:val="both"/>
            <w:rPr>
              <w:rFonts w:ascii="Arial" w:eastAsia="Arial" w:hAnsi="Arial" w:cs="Arial"/>
              <w:sz w:val="14"/>
              <w:lang w:val="fr-FR"/>
            </w:rPr>
          </w:pPr>
          <w:r w:rsidRPr="00504B94">
            <w:rPr>
              <w:rFonts w:ascii="Arial" w:eastAsia="Arial" w:hAnsi="Arial" w:cs="Arial"/>
              <w:color w:val="0066B3"/>
              <w:sz w:val="14"/>
              <w:lang w:val="fr-FR"/>
            </w:rPr>
            <w:t>512-236-6555</w:t>
          </w:r>
        </w:p>
        <w:p w14:paraId="752EA32A" w14:textId="234AACC3" w:rsidR="00AB4FF3" w:rsidRPr="00504B94" w:rsidRDefault="006F127B">
          <w:pPr>
            <w:keepLines/>
            <w:spacing w:after="40" w:line="288" w:lineRule="auto"/>
            <w:jc w:val="both"/>
            <w:rPr>
              <w:rFonts w:ascii="Arial" w:eastAsia="Arial" w:hAnsi="Arial" w:cs="Arial"/>
              <w:sz w:val="14"/>
              <w:lang w:val="fr-FR"/>
            </w:rPr>
          </w:pPr>
          <w:r w:rsidRPr="00504B94">
            <w:rPr>
              <w:rFonts w:ascii="Arial" w:eastAsia="Arial" w:hAnsi="Arial" w:cs="Arial"/>
              <w:color w:val="0066B3"/>
              <w:sz w:val="14"/>
              <w:lang w:val="fr-FR"/>
            </w:rPr>
            <w:t>sarah</w:t>
          </w:r>
          <w:r w:rsidR="003A42C2" w:rsidRPr="00504B94">
            <w:rPr>
              <w:rFonts w:ascii="Arial" w:eastAsia="Arial" w:hAnsi="Arial" w:cs="Arial"/>
              <w:color w:val="0066B3"/>
              <w:sz w:val="14"/>
              <w:lang w:val="fr-FR"/>
            </w:rPr>
            <w:t>.</w:t>
          </w:r>
          <w:r w:rsidR="00E65F4E" w:rsidRPr="00504B94">
            <w:rPr>
              <w:rFonts w:ascii="Arial" w:eastAsia="Arial" w:hAnsi="Arial" w:cs="Arial"/>
              <w:color w:val="0066B3"/>
              <w:sz w:val="14"/>
              <w:lang w:val="fr-FR"/>
            </w:rPr>
            <w:t>newell</w:t>
          </w:r>
          <w:r w:rsidR="003A42C2" w:rsidRPr="00504B94">
            <w:rPr>
              <w:rFonts w:ascii="Arial" w:eastAsia="Arial" w:hAnsi="Arial" w:cs="Arial"/>
              <w:color w:val="0066B3"/>
              <w:sz w:val="14"/>
              <w:lang w:val="fr-FR"/>
            </w:rPr>
            <w:t>@bnymellon.com</w:t>
          </w:r>
        </w:p>
      </w:tc>
      <w:tc>
        <w:tcPr>
          <w:tcW w:w="560" w:type="dxa"/>
          <w:tcBorders>
            <w:right w:val="dotted" w:sz="16" w:space="0" w:color="72BF44"/>
          </w:tcBorders>
          <w:tcMar>
            <w:left w:w="60" w:type="dxa"/>
            <w:right w:w="0" w:type="dxa"/>
          </w:tcMar>
          <w:vAlign w:val="bottom"/>
        </w:tcPr>
        <w:p w14:paraId="19366A7C" w14:textId="77777777" w:rsidR="00AB4FF3" w:rsidRPr="00504B94" w:rsidRDefault="00AB4FF3">
          <w:pPr>
            <w:keepLines/>
            <w:spacing w:before="40" w:after="40"/>
            <w:rPr>
              <w:lang w:val="fr-FR"/>
            </w:rPr>
          </w:pPr>
        </w:p>
      </w:tc>
      <w:tc>
        <w:tcPr>
          <w:tcW w:w="5160" w:type="dxa"/>
          <w:gridSpan w:val="2"/>
          <w:tcBorders>
            <w:left w:val="dotted" w:sz="16" w:space="0" w:color="72BF44"/>
          </w:tcBorders>
          <w:tcMar>
            <w:left w:w="60" w:type="dxa"/>
            <w:right w:w="40" w:type="dxa"/>
          </w:tcMar>
        </w:tcPr>
        <w:p w14:paraId="579FE3FF" w14:textId="77777777" w:rsidR="00AB4FF3" w:rsidRDefault="003A42C2">
          <w:pPr>
            <w:keepLines/>
            <w:spacing w:before="40" w:line="288" w:lineRule="auto"/>
            <w:rPr>
              <w:rFonts w:ascii="Arial" w:eastAsia="Arial" w:hAnsi="Arial" w:cs="Arial"/>
              <w:sz w:val="14"/>
            </w:rPr>
          </w:pPr>
          <w:r>
            <w:rPr>
              <w:rFonts w:ascii="Arial" w:eastAsia="Arial" w:hAnsi="Arial" w:cs="Arial"/>
              <w:color w:val="0066B3"/>
              <w:sz w:val="14"/>
            </w:rPr>
            <w:t>601 Travis Street</w:t>
          </w:r>
        </w:p>
        <w:p w14:paraId="2BFA9C62" w14:textId="77777777" w:rsidR="00AB4FF3" w:rsidRDefault="003A42C2">
          <w:pPr>
            <w:keepLines/>
            <w:spacing w:line="288" w:lineRule="auto"/>
            <w:rPr>
              <w:rFonts w:ascii="Arial" w:eastAsia="Arial" w:hAnsi="Arial" w:cs="Arial"/>
              <w:sz w:val="14"/>
            </w:rPr>
          </w:pPr>
          <w:r>
            <w:rPr>
              <w:rFonts w:ascii="Arial" w:eastAsia="Arial" w:hAnsi="Arial" w:cs="Arial"/>
              <w:color w:val="0066B3"/>
              <w:sz w:val="14"/>
            </w:rPr>
            <w:t>16th Floor</w:t>
          </w:r>
        </w:p>
        <w:p w14:paraId="484E20E9" w14:textId="77777777" w:rsidR="00AB4FF3" w:rsidRDefault="003A42C2">
          <w:pPr>
            <w:keepLines/>
            <w:spacing w:after="40" w:line="288" w:lineRule="auto"/>
            <w:rPr>
              <w:rFonts w:ascii="Arial" w:eastAsia="Arial" w:hAnsi="Arial" w:cs="Arial"/>
              <w:sz w:val="14"/>
            </w:rPr>
          </w:pPr>
          <w:r>
            <w:rPr>
              <w:rFonts w:ascii="Arial" w:eastAsia="Arial" w:hAnsi="Arial" w:cs="Arial"/>
              <w:color w:val="0066B3"/>
              <w:sz w:val="14"/>
            </w:rPr>
            <w:t>Houston, TX  77002</w:t>
          </w:r>
        </w:p>
      </w:tc>
    </w:tr>
  </w:tbl>
  <w:p w14:paraId="29E9B753" w14:textId="77777777" w:rsidR="00AB4FF3" w:rsidRDefault="00AB4FF3">
    <w:pPr>
      <w:spacing w:before="60" w:line="288"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A0BEB" w14:textId="77777777" w:rsidR="00532CB8" w:rsidRDefault="00532CB8">
      <w:r>
        <w:separator/>
      </w:r>
    </w:p>
  </w:footnote>
  <w:footnote w:type="continuationSeparator" w:id="0">
    <w:p w14:paraId="78CDEC27" w14:textId="77777777" w:rsidR="00532CB8" w:rsidRDefault="00532CB8">
      <w:r>
        <w:continuationSeparator/>
      </w:r>
    </w:p>
  </w:footnote>
  <w:footnote w:type="continuationNotice" w:id="1">
    <w:p w14:paraId="2F0DF35E" w14:textId="77777777" w:rsidR="00532CB8" w:rsidRDefault="00532C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9C99A" w14:textId="77777777" w:rsidR="00E07FA0" w:rsidRDefault="003A42C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7E452" w14:textId="77777777" w:rsidR="00E07FA0" w:rsidRDefault="003A42C2">
    <w:r>
      <w:c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0" w:type="dxa"/>
      <w:jc w:val="center"/>
      <w:tblLayout w:type="fixed"/>
      <w:tblCellMar>
        <w:left w:w="10" w:type="dxa"/>
        <w:right w:w="10" w:type="dxa"/>
      </w:tblCellMar>
      <w:tblLook w:val="04A0" w:firstRow="1" w:lastRow="0" w:firstColumn="1" w:lastColumn="0" w:noHBand="0" w:noVBand="1"/>
    </w:tblPr>
    <w:tblGrid>
      <w:gridCol w:w="5280"/>
      <w:gridCol w:w="2920"/>
      <w:gridCol w:w="2000"/>
    </w:tblGrid>
    <w:tr w:rsidR="00AB4FF3" w14:paraId="3EA6076F" w14:textId="77777777">
      <w:trPr>
        <w:trHeight w:hRule="exact" w:val="340"/>
        <w:jc w:val="center"/>
      </w:trPr>
      <w:tc>
        <w:tcPr>
          <w:tcW w:w="5280" w:type="dxa"/>
          <w:tcMar>
            <w:left w:w="60" w:type="dxa"/>
            <w:right w:w="0" w:type="dxa"/>
          </w:tcMar>
          <w:vAlign w:val="bottom"/>
        </w:tcPr>
        <w:p w14:paraId="4E076A43" w14:textId="77777777" w:rsidR="00AB4FF3" w:rsidRDefault="00AB4FF3">
          <w:pPr>
            <w:keepNext/>
            <w:keepLines/>
            <w:spacing w:before="40" w:after="40"/>
          </w:pPr>
        </w:p>
      </w:tc>
      <w:tc>
        <w:tcPr>
          <w:tcW w:w="2920" w:type="dxa"/>
          <w:tcMar>
            <w:left w:w="60" w:type="dxa"/>
            <w:right w:w="0" w:type="dxa"/>
          </w:tcMar>
          <w:vAlign w:val="bottom"/>
        </w:tcPr>
        <w:p w14:paraId="0D846F79" w14:textId="77777777" w:rsidR="00AB4FF3" w:rsidRDefault="00AB4FF3">
          <w:pPr>
            <w:keepNext/>
            <w:keepLines/>
            <w:spacing w:before="40" w:after="40"/>
          </w:pPr>
        </w:p>
      </w:tc>
      <w:tc>
        <w:tcPr>
          <w:tcW w:w="2000" w:type="dxa"/>
          <w:tcMar>
            <w:left w:w="0" w:type="dxa"/>
            <w:right w:w="60" w:type="dxa"/>
          </w:tcMar>
          <w:vAlign w:val="bottom"/>
        </w:tcPr>
        <w:p w14:paraId="2CB53459" w14:textId="77777777" w:rsidR="00AB4FF3" w:rsidRDefault="00AB4FF3">
          <w:pPr>
            <w:keepNext/>
            <w:keepLines/>
            <w:spacing w:before="40" w:after="40"/>
          </w:pPr>
        </w:p>
      </w:tc>
    </w:tr>
    <w:tr w:rsidR="003A42C2" w14:paraId="6CB98CE4" w14:textId="77777777" w:rsidTr="003A42C2">
      <w:trPr>
        <w:trHeight w:hRule="exact" w:val="1000"/>
        <w:jc w:val="center"/>
      </w:trPr>
      <w:tc>
        <w:tcPr>
          <w:tcW w:w="5280" w:type="dxa"/>
          <w:tcMar>
            <w:left w:w="60" w:type="dxa"/>
            <w:right w:w="40" w:type="dxa"/>
          </w:tcMar>
          <w:vAlign w:val="bottom"/>
        </w:tcPr>
        <w:p w14:paraId="027803A5" w14:textId="77777777" w:rsidR="00AB4FF3" w:rsidRDefault="003A42C2">
          <w:pPr>
            <w:keepLines/>
            <w:spacing w:before="40" w:after="40"/>
            <w:rPr>
              <w:rFonts w:ascii="Arial" w:eastAsia="Arial" w:hAnsi="Arial" w:cs="Arial"/>
              <w:sz w:val="44"/>
            </w:rPr>
          </w:pPr>
          <w:r>
            <w:rPr>
              <w:rFonts w:ascii="Arial" w:eastAsia="Arial" w:hAnsi="Arial" w:cs="Arial"/>
              <w:color w:val="0066B3"/>
              <w:sz w:val="44"/>
            </w:rPr>
            <w:t>News Release</w:t>
          </w:r>
        </w:p>
      </w:tc>
      <w:tc>
        <w:tcPr>
          <w:tcW w:w="4920" w:type="dxa"/>
          <w:gridSpan w:val="2"/>
          <w:tcMar>
            <w:left w:w="0" w:type="dxa"/>
            <w:right w:w="60" w:type="dxa"/>
          </w:tcMar>
          <w:vAlign w:val="bottom"/>
        </w:tcPr>
        <w:p w14:paraId="51308E02" w14:textId="77777777" w:rsidR="00AB4FF3" w:rsidRDefault="003A42C2">
          <w:pPr>
            <w:keepLines/>
            <w:spacing w:before="40" w:after="40"/>
            <w:jc w:val="right"/>
            <w:rPr>
              <w:rFonts w:ascii="Arial" w:eastAsia="Arial" w:hAnsi="Arial" w:cs="Arial"/>
              <w:b/>
              <w:sz w:val="24"/>
            </w:rPr>
          </w:pPr>
          <w:r>
            <w:rPr>
              <w:rFonts w:ascii="Arial" w:eastAsia="Arial" w:hAnsi="Arial" w:cs="Arial"/>
              <w:b/>
              <w:color w:val="0070C0"/>
              <w:sz w:val="24"/>
            </w:rPr>
            <w:t>Chesapeake Granite Wash Trust</w:t>
          </w:r>
        </w:p>
      </w:tc>
    </w:tr>
  </w:tbl>
  <w:p w14:paraId="255EFBF1" w14:textId="77777777" w:rsidR="00AB4FF3" w:rsidRDefault="00AB4FF3">
    <w:pPr>
      <w:spacing w:before="120" w:line="288" w:lineRule="aut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FF3"/>
    <w:rsid w:val="00010F38"/>
    <w:rsid w:val="000233F6"/>
    <w:rsid w:val="000504F4"/>
    <w:rsid w:val="0006451B"/>
    <w:rsid w:val="00065D56"/>
    <w:rsid w:val="00067771"/>
    <w:rsid w:val="00085AB5"/>
    <w:rsid w:val="000A3F0A"/>
    <w:rsid w:val="000A5724"/>
    <w:rsid w:val="000B0AD7"/>
    <w:rsid w:val="000B6B25"/>
    <w:rsid w:val="000C5810"/>
    <w:rsid w:val="000D4579"/>
    <w:rsid w:val="00107C39"/>
    <w:rsid w:val="00132665"/>
    <w:rsid w:val="001350FB"/>
    <w:rsid w:val="0015214D"/>
    <w:rsid w:val="00155EA0"/>
    <w:rsid w:val="001565BA"/>
    <w:rsid w:val="00167DAC"/>
    <w:rsid w:val="001A2A34"/>
    <w:rsid w:val="001A6C0B"/>
    <w:rsid w:val="001B07E8"/>
    <w:rsid w:val="001C1A51"/>
    <w:rsid w:val="001D6468"/>
    <w:rsid w:val="001F66A9"/>
    <w:rsid w:val="002075DE"/>
    <w:rsid w:val="002257D3"/>
    <w:rsid w:val="00231BF4"/>
    <w:rsid w:val="00276F13"/>
    <w:rsid w:val="002845B2"/>
    <w:rsid w:val="002B385B"/>
    <w:rsid w:val="002F346D"/>
    <w:rsid w:val="002F416A"/>
    <w:rsid w:val="00313F99"/>
    <w:rsid w:val="00314B0A"/>
    <w:rsid w:val="00326663"/>
    <w:rsid w:val="00330A23"/>
    <w:rsid w:val="0034274E"/>
    <w:rsid w:val="00352A8B"/>
    <w:rsid w:val="00371DE3"/>
    <w:rsid w:val="003738C1"/>
    <w:rsid w:val="00393CAB"/>
    <w:rsid w:val="003A42C2"/>
    <w:rsid w:val="0041252C"/>
    <w:rsid w:val="004201AF"/>
    <w:rsid w:val="00420B3C"/>
    <w:rsid w:val="0044428E"/>
    <w:rsid w:val="004548DB"/>
    <w:rsid w:val="004B0065"/>
    <w:rsid w:val="004C5284"/>
    <w:rsid w:val="004E64CE"/>
    <w:rsid w:val="00504B94"/>
    <w:rsid w:val="00506A23"/>
    <w:rsid w:val="00510483"/>
    <w:rsid w:val="005159B8"/>
    <w:rsid w:val="005167B3"/>
    <w:rsid w:val="00517A43"/>
    <w:rsid w:val="00532CB8"/>
    <w:rsid w:val="005524C4"/>
    <w:rsid w:val="00566F44"/>
    <w:rsid w:val="0058094B"/>
    <w:rsid w:val="005A1465"/>
    <w:rsid w:val="005A278C"/>
    <w:rsid w:val="005D0CF5"/>
    <w:rsid w:val="005D6682"/>
    <w:rsid w:val="005E08E4"/>
    <w:rsid w:val="005E35BD"/>
    <w:rsid w:val="005E35F8"/>
    <w:rsid w:val="005E6012"/>
    <w:rsid w:val="005F3547"/>
    <w:rsid w:val="00603FE1"/>
    <w:rsid w:val="00614367"/>
    <w:rsid w:val="00633146"/>
    <w:rsid w:val="006624FB"/>
    <w:rsid w:val="00676842"/>
    <w:rsid w:val="006773AA"/>
    <w:rsid w:val="006A70B4"/>
    <w:rsid w:val="006D7456"/>
    <w:rsid w:val="006F127B"/>
    <w:rsid w:val="006F6F47"/>
    <w:rsid w:val="007403EF"/>
    <w:rsid w:val="00752113"/>
    <w:rsid w:val="00755FCB"/>
    <w:rsid w:val="0076282D"/>
    <w:rsid w:val="00771A32"/>
    <w:rsid w:val="0077420D"/>
    <w:rsid w:val="00797BAE"/>
    <w:rsid w:val="007B4119"/>
    <w:rsid w:val="007C0A75"/>
    <w:rsid w:val="007D5B1F"/>
    <w:rsid w:val="00844578"/>
    <w:rsid w:val="008654A1"/>
    <w:rsid w:val="00882722"/>
    <w:rsid w:val="008939F9"/>
    <w:rsid w:val="008A410E"/>
    <w:rsid w:val="008A7487"/>
    <w:rsid w:val="008B22F2"/>
    <w:rsid w:val="008B56E8"/>
    <w:rsid w:val="008C1397"/>
    <w:rsid w:val="009013BE"/>
    <w:rsid w:val="00902569"/>
    <w:rsid w:val="00904D2E"/>
    <w:rsid w:val="009060EA"/>
    <w:rsid w:val="00925809"/>
    <w:rsid w:val="00933D09"/>
    <w:rsid w:val="00937945"/>
    <w:rsid w:val="009632DA"/>
    <w:rsid w:val="00982349"/>
    <w:rsid w:val="009A3F8D"/>
    <w:rsid w:val="009A74FD"/>
    <w:rsid w:val="009B5533"/>
    <w:rsid w:val="009D699B"/>
    <w:rsid w:val="009E2C10"/>
    <w:rsid w:val="009E4FED"/>
    <w:rsid w:val="009E58C6"/>
    <w:rsid w:val="009F7E11"/>
    <w:rsid w:val="00A026BF"/>
    <w:rsid w:val="00A1096A"/>
    <w:rsid w:val="00A81C42"/>
    <w:rsid w:val="00A930B8"/>
    <w:rsid w:val="00AA034B"/>
    <w:rsid w:val="00AB4FF3"/>
    <w:rsid w:val="00AC5AF8"/>
    <w:rsid w:val="00AE58A4"/>
    <w:rsid w:val="00AF18E0"/>
    <w:rsid w:val="00AF45E8"/>
    <w:rsid w:val="00AF7A65"/>
    <w:rsid w:val="00B207CC"/>
    <w:rsid w:val="00B32AED"/>
    <w:rsid w:val="00B400ED"/>
    <w:rsid w:val="00B40657"/>
    <w:rsid w:val="00B570AD"/>
    <w:rsid w:val="00BC5E29"/>
    <w:rsid w:val="00BE5826"/>
    <w:rsid w:val="00C055CE"/>
    <w:rsid w:val="00C1557E"/>
    <w:rsid w:val="00C205D8"/>
    <w:rsid w:val="00C34995"/>
    <w:rsid w:val="00C4046E"/>
    <w:rsid w:val="00C46011"/>
    <w:rsid w:val="00C81530"/>
    <w:rsid w:val="00C933B2"/>
    <w:rsid w:val="00CB23C9"/>
    <w:rsid w:val="00CD366C"/>
    <w:rsid w:val="00D137BD"/>
    <w:rsid w:val="00D356F1"/>
    <w:rsid w:val="00D41BB6"/>
    <w:rsid w:val="00D61D91"/>
    <w:rsid w:val="00D92382"/>
    <w:rsid w:val="00DA30FC"/>
    <w:rsid w:val="00DB06F9"/>
    <w:rsid w:val="00DB3DAD"/>
    <w:rsid w:val="00DB6FA0"/>
    <w:rsid w:val="00E06979"/>
    <w:rsid w:val="00E07FA0"/>
    <w:rsid w:val="00E16B36"/>
    <w:rsid w:val="00E65F4E"/>
    <w:rsid w:val="00E7376C"/>
    <w:rsid w:val="00E913CC"/>
    <w:rsid w:val="00EC1496"/>
    <w:rsid w:val="00EC538D"/>
    <w:rsid w:val="00EC5B57"/>
    <w:rsid w:val="00EF56C7"/>
    <w:rsid w:val="00F269D2"/>
    <w:rsid w:val="00F66AFA"/>
    <w:rsid w:val="00F67003"/>
    <w:rsid w:val="00F8219D"/>
    <w:rsid w:val="00F83B24"/>
    <w:rsid w:val="00FA1F09"/>
    <w:rsid w:val="00FB0C5E"/>
    <w:rsid w:val="00FF5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2311D"/>
  <w15:docId w15:val="{DA30FF05-0ECD-4054-97F3-4F7F99A03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1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A026BF"/>
  </w:style>
  <w:style w:type="character" w:customStyle="1" w:styleId="EndnoteTextChar">
    <w:name w:val="Endnote Text Char"/>
    <w:basedOn w:val="DefaultParagraphFont"/>
    <w:link w:val="EndnoteText"/>
    <w:uiPriority w:val="99"/>
    <w:semiHidden/>
    <w:rsid w:val="00A026BF"/>
  </w:style>
  <w:style w:type="character" w:styleId="EndnoteReference">
    <w:name w:val="endnote reference"/>
    <w:basedOn w:val="DefaultParagraphFont"/>
    <w:uiPriority w:val="99"/>
    <w:semiHidden/>
    <w:unhideWhenUsed/>
    <w:rsid w:val="00A026BF"/>
    <w:rPr>
      <w:vertAlign w:val="superscript"/>
    </w:rPr>
  </w:style>
  <w:style w:type="paragraph" w:styleId="ListParagraph">
    <w:name w:val="List Paragraph"/>
    <w:basedOn w:val="Normal"/>
    <w:uiPriority w:val="34"/>
    <w:qFormat/>
    <w:rsid w:val="009B5533"/>
    <w:pPr>
      <w:ind w:left="720"/>
      <w:contextualSpacing/>
    </w:pPr>
  </w:style>
  <w:style w:type="paragraph" w:styleId="Header">
    <w:name w:val="header"/>
    <w:basedOn w:val="Normal"/>
    <w:link w:val="HeaderChar"/>
    <w:uiPriority w:val="99"/>
    <w:semiHidden/>
    <w:unhideWhenUsed/>
    <w:rsid w:val="0044428E"/>
    <w:pPr>
      <w:tabs>
        <w:tab w:val="center" w:pos="4680"/>
        <w:tab w:val="right" w:pos="9360"/>
      </w:tabs>
    </w:pPr>
  </w:style>
  <w:style w:type="character" w:customStyle="1" w:styleId="HeaderChar">
    <w:name w:val="Header Char"/>
    <w:basedOn w:val="DefaultParagraphFont"/>
    <w:link w:val="Header"/>
    <w:uiPriority w:val="99"/>
    <w:semiHidden/>
    <w:rsid w:val="0044428E"/>
  </w:style>
  <w:style w:type="paragraph" w:styleId="Footer">
    <w:name w:val="footer"/>
    <w:basedOn w:val="Normal"/>
    <w:link w:val="FooterChar"/>
    <w:uiPriority w:val="99"/>
    <w:semiHidden/>
    <w:unhideWhenUsed/>
    <w:rsid w:val="0044428E"/>
    <w:pPr>
      <w:tabs>
        <w:tab w:val="center" w:pos="4680"/>
        <w:tab w:val="right" w:pos="9360"/>
      </w:tabs>
    </w:pPr>
  </w:style>
  <w:style w:type="character" w:customStyle="1" w:styleId="FooterChar">
    <w:name w:val="Footer Char"/>
    <w:basedOn w:val="DefaultParagraphFont"/>
    <w:link w:val="Footer"/>
    <w:uiPriority w:val="99"/>
    <w:semiHidden/>
    <w:rsid w:val="004442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7050">
      <w:bodyDiv w:val="1"/>
      <w:marLeft w:val="0"/>
      <w:marRight w:val="0"/>
      <w:marTop w:val="0"/>
      <w:marBottom w:val="0"/>
      <w:divBdr>
        <w:top w:val="none" w:sz="0" w:space="0" w:color="auto"/>
        <w:left w:val="none" w:sz="0" w:space="0" w:color="auto"/>
        <w:bottom w:val="none" w:sz="0" w:space="0" w:color="auto"/>
        <w:right w:val="none" w:sz="0" w:space="0" w:color="auto"/>
      </w:divBdr>
    </w:div>
    <w:div w:id="440222898">
      <w:bodyDiv w:val="1"/>
      <w:marLeft w:val="0"/>
      <w:marRight w:val="0"/>
      <w:marTop w:val="0"/>
      <w:marBottom w:val="0"/>
      <w:divBdr>
        <w:top w:val="none" w:sz="0" w:space="0" w:color="auto"/>
        <w:left w:val="none" w:sz="0" w:space="0" w:color="auto"/>
        <w:bottom w:val="none" w:sz="0" w:space="0" w:color="auto"/>
        <w:right w:val="none" w:sz="0" w:space="0" w:color="auto"/>
      </w:divBdr>
    </w:div>
    <w:div w:id="565410779">
      <w:bodyDiv w:val="1"/>
      <w:marLeft w:val="0"/>
      <w:marRight w:val="0"/>
      <w:marTop w:val="0"/>
      <w:marBottom w:val="0"/>
      <w:divBdr>
        <w:top w:val="none" w:sz="0" w:space="0" w:color="auto"/>
        <w:left w:val="none" w:sz="0" w:space="0" w:color="auto"/>
        <w:bottom w:val="none" w:sz="0" w:space="0" w:color="auto"/>
        <w:right w:val="none" w:sz="0" w:space="0" w:color="auto"/>
      </w:divBdr>
    </w:div>
    <w:div w:id="1957329864">
      <w:bodyDiv w:val="1"/>
      <w:marLeft w:val="0"/>
      <w:marRight w:val="0"/>
      <w:marTop w:val="0"/>
      <w:marBottom w:val="0"/>
      <w:divBdr>
        <w:top w:val="none" w:sz="0" w:space="0" w:color="auto"/>
        <w:left w:val="none" w:sz="0" w:space="0" w:color="auto"/>
        <w:bottom w:val="none" w:sz="0" w:space="0" w:color="auto"/>
        <w:right w:val="none" w:sz="0" w:space="0" w:color="auto"/>
      </w:divBdr>
    </w:div>
    <w:div w:id="20210035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OilDexsolved xmlns="3b710357-14f8-43f6-9501-a11c2a400632" xsi:nil="true"/>
    <TaxCatchAll xmlns="364f1f7f-fd40-48a0-85f3-f11a64da6977" xsi:nil="true"/>
    <_ip_UnifiedCompliancePolicyProperties xmlns="http://schemas.microsoft.com/sharepoint/v3" xsi:nil="true"/>
    <Ticketcount xmlns="3b710357-14f8-43f6-9501-a11c2a400632" xsi:nil="true"/>
    <lcf76f155ced4ddcb4097134ff3c332f xmlns="3b710357-14f8-43f6-9501-a11c2a400632">
      <Terms xmlns="http://schemas.microsoft.com/office/infopath/2007/PartnerControls"/>
    </lcf76f155ced4ddcb4097134ff3c332f>
    <_x0030_3_x002e_2023 xmlns="3b710357-14f8-43f6-9501-a11c2a40063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7EA715F244FA44D9E2BF89E55CB4BE8" ma:contentTypeVersion="22" ma:contentTypeDescription="Create a new document." ma:contentTypeScope="" ma:versionID="8fbebd5c791f9aaf30f4c02cfb84678b">
  <xsd:schema xmlns:xsd="http://www.w3.org/2001/XMLSchema" xmlns:xs="http://www.w3.org/2001/XMLSchema" xmlns:p="http://schemas.microsoft.com/office/2006/metadata/properties" xmlns:ns1="http://schemas.microsoft.com/sharepoint/v3" xmlns:ns2="3b710357-14f8-43f6-9501-a11c2a400632" xmlns:ns3="364f1f7f-fd40-48a0-85f3-f11a64da6977" targetNamespace="http://schemas.microsoft.com/office/2006/metadata/properties" ma:root="true" ma:fieldsID="5a8c59ed35ad60d73f404e7143db8dc9" ns1:_="" ns2:_="" ns3:_="">
    <xsd:import namespace="http://schemas.microsoft.com/sharepoint/v3"/>
    <xsd:import namespace="3b710357-14f8-43f6-9501-a11c2a400632"/>
    <xsd:import namespace="364f1f7f-fd40-48a0-85f3-f11a64da69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Ticketcount" minOccurs="0"/>
                <xsd:element ref="ns2:OilDexsolved" minOccurs="0"/>
                <xsd:element ref="ns2:MediaLengthInSeconds" minOccurs="0"/>
                <xsd:element ref="ns1:_ip_UnifiedCompliancePolicyProperties" minOccurs="0"/>
                <xsd:element ref="ns1:_ip_UnifiedCompliancePolicyUIAction" minOccurs="0"/>
                <xsd:element ref="ns2:MediaServiceLocation" minOccurs="0"/>
                <xsd:element ref="ns2:lcf76f155ced4ddcb4097134ff3c332f" minOccurs="0"/>
                <xsd:element ref="ns3:TaxCatchAll" minOccurs="0"/>
                <xsd:element ref="ns2:_x0030_3_x002e_2023"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710357-14f8-43f6-9501-a11c2a4006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Ticketcount" ma:index="19" nillable="true" ma:displayName="Ticket count" ma:decimals="0" ma:format="Dropdown" ma:internalName="Ticketcount" ma:percentage="FALSE">
      <xsd:simpleType>
        <xsd:restriction base="dms:Number"/>
      </xsd:simpleType>
    </xsd:element>
    <xsd:element name="OilDexsolved" ma:index="20" nillable="true" ma:displayName="OilDex solved" ma:format="Dropdown" ma:internalName="OilDexsolved" ma:percentage="FALSE">
      <xsd:simpleType>
        <xsd:restriction base="dms:Number"/>
      </xsd:simpleType>
    </xsd:element>
    <xsd:element name="MediaLengthInSeconds" ma:index="21" nillable="true" ma:displayName="Length (seconds)" ma:internalName="MediaLengthInSeconds" ma:readOnly="true">
      <xsd:simpleType>
        <xsd:restriction base="dms:Unknown"/>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34e3fa02-f1e5-4794-b29b-7ccd3a2cbfba" ma:termSetId="09814cd3-568e-fe90-9814-8d621ff8fb84" ma:anchorId="fba54fb3-c3e1-fe81-a776-ca4b69148c4d" ma:open="true" ma:isKeyword="false">
      <xsd:complexType>
        <xsd:sequence>
          <xsd:element ref="pc:Terms" minOccurs="0" maxOccurs="1"/>
        </xsd:sequence>
      </xsd:complexType>
    </xsd:element>
    <xsd:element name="_x0030_3_x002e_2023" ma:index="28" nillable="true" ma:displayName="03.2023" ma:description="03.2023 AUTO ACCT SUMMARY" ma:format="Dropdown" ma:internalName="_x0030_3_x002e_2023">
      <xsd:simpleType>
        <xsd:restriction base="dms:Text">
          <xsd:maxLength value="255"/>
        </xsd:restriction>
      </xsd:simple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4f1f7f-fd40-48a0-85f3-f11a64da697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97bd6d28-93a5-47c7-ac9a-a239d864e708}" ma:internalName="TaxCatchAll" ma:showField="CatchAllData" ma:web="364f1f7f-fd40-48a0-85f3-f11a64da69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39CCBD-4F20-4732-9D33-EA34B98EC02D}">
  <ds:schemaRefs>
    <ds:schemaRef ds:uri="http://schemas.microsoft.com/sharepoint/v3/contenttype/forms"/>
  </ds:schemaRefs>
</ds:datastoreItem>
</file>

<file path=customXml/itemProps2.xml><?xml version="1.0" encoding="utf-8"?>
<ds:datastoreItem xmlns:ds="http://schemas.openxmlformats.org/officeDocument/2006/customXml" ds:itemID="{8A04905C-C837-4AE1-BA7C-8FD647DAB9AB}">
  <ds:schemaRefs>
    <ds:schemaRef ds:uri="http://schemas.openxmlformats.org/officeDocument/2006/bibliography"/>
  </ds:schemaRefs>
</ds:datastoreItem>
</file>

<file path=customXml/itemProps3.xml><?xml version="1.0" encoding="utf-8"?>
<ds:datastoreItem xmlns:ds="http://schemas.openxmlformats.org/officeDocument/2006/customXml" ds:itemID="{D2D6B953-2352-4988-A416-A43F1B55DBAB}">
  <ds:schemaRefs>
    <ds:schemaRef ds:uri="http://schemas.microsoft.com/office/2006/metadata/properties"/>
    <ds:schemaRef ds:uri="http://schemas.microsoft.com/office/infopath/2007/PartnerControls"/>
    <ds:schemaRef ds:uri="http://schemas.microsoft.com/sharepoint/v3"/>
    <ds:schemaRef ds:uri="3b710357-14f8-43f6-9501-a11c2a400632"/>
    <ds:schemaRef ds:uri="364f1f7f-fd40-48a0-85f3-f11a64da6977"/>
  </ds:schemaRefs>
</ds:datastoreItem>
</file>

<file path=customXml/itemProps4.xml><?xml version="1.0" encoding="utf-8"?>
<ds:datastoreItem xmlns:ds="http://schemas.openxmlformats.org/officeDocument/2006/customXml" ds:itemID="{09126175-94C5-4948-8C88-895DA5D16E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b710357-14f8-43f6-9501-a11c2a400632"/>
    <ds:schemaRef ds:uri="364f1f7f-fd40-48a0-85f3-f11a64da69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Pages>
  <Words>933</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6245</CharactersWithSpaces>
  <SharedDoc>false</SharedDoc>
  <HyperlinksChanged>false</HyperlinksChanged>
  <AppVersion>16.0000</AppVersion>
</Properties>
</file>

<file path=docProps/app0.xml><?xml version="1.0" encoding="utf-8"?>
<Properties xmlns="http://schemas.openxmlformats.org/officeDocument/2006/extended-properties">
  <Application>SSC Docx Exporter</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workiva.com</dc:creator>
  <cp:keywords/>
  <dc:description/>
  <cp:lastModifiedBy>Matthew Walker</cp:lastModifiedBy>
  <cp:revision>54</cp:revision>
  <cp:lastPrinted>2021-11-01T22:41:00Z</cp:lastPrinted>
  <dcterms:created xsi:type="dcterms:W3CDTF">2023-02-03T02:37:00Z</dcterms:created>
  <dcterms:modified xsi:type="dcterms:W3CDTF">2023-11-06T17:59:00Z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0x010100F7EA715F244FA44D9E2BF89E55CB4BE8</vt:lpwstr>
  </property>
  <property fmtid="{D5CDD505-2E9C-101B-9397-08002B2CF9AE}" pid="3" name="Order">
    <vt:r8>25154000</vt:r8>
  </property>
  <property fmtid="{D5CDD505-2E9C-101B-9397-08002B2CF9AE}" pid="4" name="MediaServiceImageTags">
    <vt:lpwstr/>
  </property>
</Properties>
</file>